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tcBorders>
              <w:bottom w:val="single" w:sz="24" w:space="0" w:color="000000"/>
            </w:tcBorders>
            <w:hideMark/>
          </w:tcPr>
          <w:p w:rsidR="00F90FFE" w:rsidRPr="00F90FFE" w:rsidRDefault="00F90FFE" w:rsidP="00F90FFE">
            <w:pPr>
              <w:spacing w:after="0" w:line="240" w:lineRule="auto"/>
              <w:jc w:val="center"/>
              <w:rPr>
                <w:rFonts w:ascii="Calibri" w:eastAsia="Times New Roman" w:hAnsi="Calibri" w:cs="Times New Roman"/>
                <w:sz w:val="8"/>
                <w:szCs w:val="8"/>
              </w:rPr>
            </w:pPr>
            <w:r w:rsidRPr="00F90FFE">
              <w:rPr>
                <w:rFonts w:ascii="Calibri" w:eastAsia="Times New Roman" w:hAnsi="Calibri" w:cs="Times New Roman"/>
                <w:sz w:val="8"/>
                <w:szCs w:val="8"/>
              </w:rPr>
              <w:t> </w:t>
            </w:r>
          </w:p>
        </w:tc>
      </w:tr>
      <w:tr w:rsidR="00F90FFE" w:rsidRPr="00F90FFE" w:rsidTr="00F90FFE">
        <w:tc>
          <w:tcPr>
            <w:tcW w:w="0" w:type="auto"/>
            <w:tcBorders>
              <w:bottom w:val="single" w:sz="8" w:space="0" w:color="000000"/>
            </w:tcBorders>
            <w:hideMark/>
          </w:tcPr>
          <w:p w:rsidR="00F90FFE" w:rsidRPr="00F90FFE" w:rsidRDefault="00F90FFE" w:rsidP="00F90FFE">
            <w:pPr>
              <w:spacing w:after="0" w:line="240" w:lineRule="auto"/>
              <w:jc w:val="center"/>
              <w:rPr>
                <w:rFonts w:ascii="Calibri" w:eastAsia="Times New Roman" w:hAnsi="Calibri" w:cs="Times New Roman"/>
                <w:sz w:val="8"/>
                <w:szCs w:val="8"/>
              </w:rPr>
            </w:pPr>
            <w:r w:rsidRPr="00F90FFE">
              <w:rPr>
                <w:rFonts w:ascii="Calibri" w:eastAsia="Times New Roman" w:hAnsi="Calibri" w:cs="Times New Roman"/>
                <w:sz w:val="8"/>
                <w:szCs w:val="8"/>
              </w:rPr>
              <w:t> </w:t>
            </w:r>
          </w:p>
        </w:tc>
      </w:tr>
    </w:tbl>
    <w:p w:rsidR="00F90FFE" w:rsidRPr="00F90FFE" w:rsidRDefault="00F90FFE" w:rsidP="00F90FFE">
      <w:pPr>
        <w:spacing w:after="0" w:line="240" w:lineRule="auto"/>
        <w:ind w:firstLine="720"/>
        <w:jc w:val="center"/>
        <w:rPr>
          <w:rFonts w:ascii="Times New Roman" w:eastAsia="Times New Roman" w:hAnsi="Times New Roman" w:cs="Times New Roman"/>
          <w:sz w:val="14"/>
          <w:szCs w:val="14"/>
        </w:rPr>
      </w:pPr>
      <w:r w:rsidRPr="00F90FFE">
        <w:rPr>
          <w:rFonts w:ascii="Times New Roman" w:eastAsia="Times New Roman" w:hAnsi="Times New Roman" w:cs="Times New Roman"/>
          <w:b/>
          <w:bCs/>
          <w:sz w:val="14"/>
          <w:szCs w:val="14"/>
        </w:rPr>
        <w:t> </w:t>
      </w:r>
    </w:p>
    <w:p w:rsidR="00F90FFE" w:rsidRPr="00F90FFE" w:rsidRDefault="00F90FFE" w:rsidP="00F90FFE">
      <w:pPr>
        <w:spacing w:after="0" w:line="240" w:lineRule="auto"/>
        <w:jc w:val="center"/>
        <w:rPr>
          <w:rFonts w:ascii="Times New Roman" w:eastAsia="Times New Roman" w:hAnsi="Times New Roman" w:cs="Times New Roman"/>
          <w:sz w:val="32"/>
          <w:szCs w:val="32"/>
        </w:rPr>
      </w:pPr>
      <w:r w:rsidRPr="00F90FFE">
        <w:rPr>
          <w:rFonts w:ascii="Times New Roman" w:eastAsia="Times New Roman" w:hAnsi="Times New Roman" w:cs="Times New Roman"/>
          <w:b/>
          <w:bCs/>
          <w:sz w:val="32"/>
          <w:szCs w:val="32"/>
        </w:rPr>
        <w:t>UNITED STATES</w:t>
      </w:r>
    </w:p>
    <w:p w:rsidR="00F90FFE" w:rsidRPr="00F90FFE" w:rsidRDefault="00F90FFE" w:rsidP="00F90FFE">
      <w:pPr>
        <w:spacing w:after="0" w:line="240" w:lineRule="auto"/>
        <w:jc w:val="center"/>
        <w:rPr>
          <w:rFonts w:ascii="Times New Roman" w:eastAsia="Times New Roman" w:hAnsi="Times New Roman" w:cs="Times New Roman"/>
          <w:sz w:val="32"/>
          <w:szCs w:val="32"/>
        </w:rPr>
      </w:pPr>
      <w:r w:rsidRPr="00F90FFE">
        <w:rPr>
          <w:rFonts w:ascii="Times New Roman" w:eastAsia="Times New Roman" w:hAnsi="Times New Roman" w:cs="Times New Roman"/>
          <w:b/>
          <w:bCs/>
          <w:sz w:val="32"/>
          <w:szCs w:val="32"/>
        </w:rPr>
        <w:t>SECURITIES AND EXCHANGE COMMISSION</w:t>
      </w:r>
    </w:p>
    <w:p w:rsidR="00F90FFE" w:rsidRPr="00F90FFE" w:rsidRDefault="00F90FFE" w:rsidP="00F90FFE">
      <w:pPr>
        <w:spacing w:after="0" w:line="240" w:lineRule="auto"/>
        <w:jc w:val="center"/>
        <w:rPr>
          <w:rFonts w:ascii="Times New Roman" w:eastAsia="Times New Roman" w:hAnsi="Times New Roman" w:cs="Times New Roman"/>
        </w:rPr>
      </w:pPr>
      <w:r w:rsidRPr="00F90FFE">
        <w:rPr>
          <w:rFonts w:ascii="Times New Roman" w:eastAsia="Times New Roman" w:hAnsi="Times New Roman" w:cs="Times New Roman"/>
          <w:b/>
          <w:bCs/>
        </w:rPr>
        <w:t>Washington, D.C.  20549</w:t>
      </w:r>
    </w:p>
    <w:p w:rsidR="00F90FFE" w:rsidRPr="00F90FFE" w:rsidRDefault="00F90FFE" w:rsidP="00F90FFE">
      <w:pPr>
        <w:spacing w:after="0" w:line="240" w:lineRule="auto"/>
        <w:ind w:firstLine="720"/>
        <w:jc w:val="center"/>
        <w:rPr>
          <w:rFonts w:ascii="Times New Roman" w:eastAsia="Times New Roman" w:hAnsi="Times New Roman" w:cs="Times New Roman"/>
          <w:sz w:val="14"/>
          <w:szCs w:val="14"/>
        </w:rPr>
      </w:pPr>
      <w:r w:rsidRPr="00F90FFE">
        <w:rPr>
          <w:rFonts w:ascii="Times New Roman" w:eastAsia="Times New Roman" w:hAnsi="Times New Roman" w:cs="Times New Roman"/>
          <w:sz w:val="14"/>
          <w:szCs w:val="14"/>
        </w:rPr>
        <w:t> </w:t>
      </w:r>
    </w:p>
    <w:p w:rsidR="00F90FFE" w:rsidRPr="00F90FFE" w:rsidRDefault="00F90FFE" w:rsidP="00F90FFE">
      <w:pPr>
        <w:spacing w:after="0" w:line="240" w:lineRule="auto"/>
        <w:jc w:val="center"/>
        <w:rPr>
          <w:rFonts w:ascii="Times New Roman" w:eastAsia="Times New Roman" w:hAnsi="Times New Roman" w:cs="Times New Roman"/>
          <w:sz w:val="32"/>
          <w:szCs w:val="32"/>
        </w:rPr>
      </w:pPr>
      <w:r w:rsidRPr="00F90FFE">
        <w:rPr>
          <w:rFonts w:ascii="Times New Roman" w:eastAsia="Times New Roman" w:hAnsi="Times New Roman" w:cs="Times New Roman"/>
          <w:b/>
          <w:bCs/>
          <w:sz w:val="32"/>
          <w:szCs w:val="32"/>
        </w:rPr>
        <w:t>Form 10-Q</w:t>
      </w:r>
    </w:p>
    <w:p w:rsidR="00F90FFE" w:rsidRPr="00F90FFE" w:rsidRDefault="00F90FFE" w:rsidP="00F90FFE">
      <w:pPr>
        <w:spacing w:after="0" w:line="240" w:lineRule="auto"/>
        <w:ind w:firstLine="720"/>
        <w:jc w:val="center"/>
        <w:rPr>
          <w:rFonts w:ascii="Times New Roman" w:eastAsia="Times New Roman" w:hAnsi="Times New Roman" w:cs="Times New Roman"/>
          <w:sz w:val="14"/>
          <w:szCs w:val="14"/>
        </w:rPr>
      </w:pPr>
      <w:r w:rsidRPr="00F90FFE">
        <w:rPr>
          <w:rFonts w:ascii="Times New Roman" w:eastAsia="Times New Roman" w:hAnsi="Times New Roman" w:cs="Times New Roman"/>
          <w:sz w:val="14"/>
          <w:szCs w:val="14"/>
        </w:rPr>
        <w:t> </w:t>
      </w:r>
    </w:p>
    <w:tbl>
      <w:tblPr>
        <w:tblW w:w="0" w:type="auto"/>
        <w:tblCellMar>
          <w:left w:w="0" w:type="dxa"/>
          <w:right w:w="0" w:type="dxa"/>
        </w:tblCellMar>
        <w:tblLook w:val="04A0" w:firstRow="1" w:lastRow="0" w:firstColumn="1" w:lastColumn="0" w:noHBand="0" w:noVBand="1"/>
      </w:tblPr>
      <w:tblGrid>
        <w:gridCol w:w="300"/>
        <w:gridCol w:w="100"/>
        <w:gridCol w:w="8960"/>
      </w:tblGrid>
      <w:tr w:rsidR="00F90FFE" w:rsidRPr="00F90FFE" w:rsidTr="00F90FFE">
        <w:tc>
          <w:tcPr>
            <w:tcW w:w="300" w:type="dxa"/>
            <w:hideMark/>
          </w:tcPr>
          <w:p w:rsidR="00F90FFE" w:rsidRPr="00F90FFE" w:rsidRDefault="00F90FFE" w:rsidP="00F90FFE">
            <w:pPr>
              <w:spacing w:after="120" w:line="240" w:lineRule="auto"/>
              <w:jc w:val="right"/>
              <w:rPr>
                <w:rFonts w:ascii="Calibri" w:eastAsia="Times New Roman" w:hAnsi="Calibri" w:cs="Times New Roman"/>
              </w:rPr>
            </w:pPr>
            <w:r w:rsidRPr="00F90FFE">
              <w:rPr>
                <w:rFonts w:ascii="MS Mincho" w:eastAsia="MS Mincho" w:hAnsi="MS Mincho" w:cs="Times New Roman" w:hint="eastAsia"/>
              </w:rPr>
              <w:t>☒</w:t>
            </w:r>
          </w:p>
        </w:tc>
        <w:tc>
          <w:tcPr>
            <w:tcW w:w="100" w:type="dxa"/>
            <w:hideMark/>
          </w:tcPr>
          <w:p w:rsidR="00F90FFE" w:rsidRPr="00F90FFE" w:rsidRDefault="00F90FFE" w:rsidP="00F90FFE">
            <w:pPr>
              <w:spacing w:after="120" w:line="240" w:lineRule="auto"/>
              <w:jc w:val="right"/>
              <w:rPr>
                <w:rFonts w:ascii="Calibri" w:eastAsia="Times New Roman" w:hAnsi="Calibri" w:cs="Times New Roman"/>
              </w:rPr>
            </w:pPr>
          </w:p>
        </w:tc>
        <w:tc>
          <w:tcPr>
            <w:tcW w:w="0" w:type="auto"/>
            <w:hideMark/>
          </w:tcPr>
          <w:p w:rsidR="00F90FFE" w:rsidRPr="00F90FFE" w:rsidRDefault="00F90FFE" w:rsidP="00F90FFE">
            <w:pPr>
              <w:spacing w:after="120" w:line="240" w:lineRule="auto"/>
              <w:jc w:val="both"/>
              <w:rPr>
                <w:rFonts w:ascii="Calibri" w:eastAsia="Times New Roman" w:hAnsi="Calibri" w:cs="Times New Roman"/>
              </w:rPr>
            </w:pPr>
            <w:r w:rsidRPr="00F90FFE">
              <w:rPr>
                <w:rFonts w:ascii="Times New Roman" w:eastAsia="Times New Roman" w:hAnsi="Times New Roman" w:cs="Times New Roman"/>
                <w:b/>
                <w:bCs/>
                <w:sz w:val="20"/>
                <w:szCs w:val="20"/>
              </w:rPr>
              <w:t>QUARTERLY REPORT PURSUANT TO SECTION 13 OR 15(d) OF THE SECURITIES EXCHANGE ACT OF 1934</w:t>
            </w:r>
          </w:p>
        </w:tc>
      </w:tr>
    </w:tbl>
    <w:p w:rsidR="00F90FFE" w:rsidRPr="00F90FFE" w:rsidRDefault="00F90FFE" w:rsidP="00F90FFE">
      <w:pPr>
        <w:spacing w:after="0" w:line="240" w:lineRule="auto"/>
        <w:jc w:val="center"/>
        <w:rPr>
          <w:rFonts w:ascii="Times New Roman" w:eastAsia="Times New Roman" w:hAnsi="Times New Roman" w:cs="Times New Roman"/>
        </w:rPr>
      </w:pPr>
      <w:r w:rsidRPr="00F90FFE">
        <w:rPr>
          <w:rFonts w:ascii="Times New Roman" w:eastAsia="Times New Roman" w:hAnsi="Times New Roman" w:cs="Times New Roman"/>
          <w:sz w:val="20"/>
          <w:szCs w:val="20"/>
        </w:rPr>
        <w:t>For the quarterly period ended September 30, 2014</w:t>
      </w:r>
    </w:p>
    <w:p w:rsidR="00F90FFE" w:rsidRPr="00F90FFE" w:rsidRDefault="00F90FFE" w:rsidP="00F90FFE">
      <w:pPr>
        <w:spacing w:after="0" w:line="240" w:lineRule="auto"/>
        <w:ind w:firstLine="720"/>
        <w:jc w:val="center"/>
        <w:rPr>
          <w:rFonts w:ascii="Times New Roman" w:eastAsia="Times New Roman" w:hAnsi="Times New Roman" w:cs="Times New Roman"/>
          <w:sz w:val="14"/>
          <w:szCs w:val="14"/>
        </w:rPr>
      </w:pPr>
      <w:r w:rsidRPr="00F90FFE">
        <w:rPr>
          <w:rFonts w:ascii="Times New Roman" w:eastAsia="Times New Roman" w:hAnsi="Times New Roman" w:cs="Times New Roman"/>
          <w:sz w:val="14"/>
          <w:szCs w:val="14"/>
        </w:rPr>
        <w:t> </w:t>
      </w:r>
    </w:p>
    <w:tbl>
      <w:tblPr>
        <w:tblW w:w="0" w:type="auto"/>
        <w:tblCellMar>
          <w:left w:w="0" w:type="dxa"/>
          <w:right w:w="0" w:type="dxa"/>
        </w:tblCellMar>
        <w:tblLook w:val="04A0" w:firstRow="1" w:lastRow="0" w:firstColumn="1" w:lastColumn="0" w:noHBand="0" w:noVBand="1"/>
      </w:tblPr>
      <w:tblGrid>
        <w:gridCol w:w="300"/>
        <w:gridCol w:w="100"/>
        <w:gridCol w:w="8960"/>
      </w:tblGrid>
      <w:tr w:rsidR="00F90FFE" w:rsidRPr="00F90FFE" w:rsidTr="00F90FFE">
        <w:tc>
          <w:tcPr>
            <w:tcW w:w="300" w:type="dxa"/>
            <w:hideMark/>
          </w:tcPr>
          <w:p w:rsidR="00F90FFE" w:rsidRPr="00F90FFE" w:rsidRDefault="00F90FFE" w:rsidP="00F90FFE">
            <w:pPr>
              <w:spacing w:after="120" w:line="240" w:lineRule="auto"/>
              <w:jc w:val="right"/>
              <w:rPr>
                <w:rFonts w:ascii="Calibri" w:eastAsia="Times New Roman" w:hAnsi="Calibri" w:cs="Times New Roman"/>
              </w:rPr>
            </w:pPr>
            <w:r w:rsidRPr="00F90FFE">
              <w:rPr>
                <w:rFonts w:ascii="MS Mincho" w:eastAsia="MS Mincho" w:hAnsi="MS Mincho" w:cs="Times New Roman" w:hint="eastAsia"/>
              </w:rPr>
              <w:t>☐</w:t>
            </w:r>
          </w:p>
        </w:tc>
        <w:tc>
          <w:tcPr>
            <w:tcW w:w="100" w:type="dxa"/>
            <w:hideMark/>
          </w:tcPr>
          <w:p w:rsidR="00F90FFE" w:rsidRPr="00F90FFE" w:rsidRDefault="00F90FFE" w:rsidP="00F90FFE">
            <w:pPr>
              <w:spacing w:after="120" w:line="240" w:lineRule="auto"/>
              <w:jc w:val="right"/>
              <w:rPr>
                <w:rFonts w:ascii="Calibri" w:eastAsia="Times New Roman" w:hAnsi="Calibri" w:cs="Times New Roman"/>
              </w:rPr>
            </w:pPr>
          </w:p>
        </w:tc>
        <w:tc>
          <w:tcPr>
            <w:tcW w:w="0" w:type="auto"/>
            <w:hideMark/>
          </w:tcPr>
          <w:p w:rsidR="00F90FFE" w:rsidRPr="00F90FFE" w:rsidRDefault="00F90FFE" w:rsidP="00F90FFE">
            <w:pPr>
              <w:spacing w:after="120" w:line="240" w:lineRule="auto"/>
              <w:jc w:val="both"/>
              <w:rPr>
                <w:rFonts w:ascii="Calibri" w:eastAsia="Times New Roman" w:hAnsi="Calibri" w:cs="Times New Roman"/>
              </w:rPr>
            </w:pPr>
            <w:r w:rsidRPr="00F90FFE">
              <w:rPr>
                <w:rFonts w:ascii="Times New Roman" w:eastAsia="Times New Roman" w:hAnsi="Times New Roman" w:cs="Times New Roman"/>
                <w:b/>
                <w:bCs/>
                <w:sz w:val="20"/>
                <w:szCs w:val="20"/>
              </w:rPr>
              <w:t>TRANSITION REPORT PURSUANT TO SECTION 13 OR 15(d) OF THE SECURITIES EXCHANGE ACT OF 1934</w:t>
            </w:r>
          </w:p>
        </w:tc>
      </w:tr>
    </w:tbl>
    <w:p w:rsidR="00F90FFE" w:rsidRPr="00F90FFE" w:rsidRDefault="00F90FFE" w:rsidP="00F90FFE">
      <w:pPr>
        <w:spacing w:after="0" w:line="240" w:lineRule="auto"/>
        <w:jc w:val="center"/>
        <w:rPr>
          <w:rFonts w:ascii="Times New Roman" w:eastAsia="Times New Roman" w:hAnsi="Times New Roman" w:cs="Times New Roman"/>
          <w:sz w:val="36"/>
          <w:szCs w:val="36"/>
        </w:rPr>
      </w:pPr>
      <w:r w:rsidRPr="00F90FFE">
        <w:rPr>
          <w:rFonts w:ascii="Times New Roman" w:eastAsia="Times New Roman" w:hAnsi="Times New Roman" w:cs="Times New Roman"/>
          <w:b/>
          <w:bCs/>
          <w:sz w:val="36"/>
          <w:szCs w:val="36"/>
          <w:u w:val="single"/>
        </w:rPr>
        <w:t>NANOANTIBIOTICS, INC.</w:t>
      </w:r>
    </w:p>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i/>
          <w:iCs/>
          <w:sz w:val="20"/>
          <w:szCs w:val="20"/>
        </w:rPr>
        <w:t>(Exact name of registrant as specified in its charter)</w:t>
      </w:r>
    </w:p>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xml:space="preserve">Commission File Number: </w:t>
      </w:r>
      <w:r w:rsidRPr="00F90FFE">
        <w:rPr>
          <w:rFonts w:ascii="Times New Roman" w:eastAsia="Times New Roman" w:hAnsi="Times New Roman" w:cs="Times New Roman"/>
          <w:b/>
          <w:bCs/>
          <w:sz w:val="20"/>
          <w:szCs w:val="20"/>
          <w:u w:val="single"/>
        </w:rPr>
        <w:t>333-190635</w:t>
      </w:r>
    </w:p>
    <w:p w:rsidR="00F90FFE" w:rsidRPr="00F90FFE" w:rsidRDefault="00F90FFE" w:rsidP="00F90FFE">
      <w:pPr>
        <w:spacing w:after="0" w:line="240" w:lineRule="auto"/>
        <w:ind w:firstLine="720"/>
        <w:jc w:val="center"/>
        <w:rPr>
          <w:rFonts w:ascii="Times New Roman" w:eastAsia="Times New Roman" w:hAnsi="Times New Roman" w:cs="Times New Roman"/>
          <w:sz w:val="14"/>
          <w:szCs w:val="14"/>
        </w:rPr>
      </w:pPr>
      <w:r w:rsidRPr="00F90FFE">
        <w:rPr>
          <w:rFonts w:ascii="Times New Roman" w:eastAsia="Times New Roman" w:hAnsi="Times New Roman" w:cs="Times New Roman"/>
          <w:sz w:val="14"/>
          <w:szCs w:val="14"/>
        </w:rPr>
        <w:t> </w:t>
      </w:r>
    </w:p>
    <w:tbl>
      <w:tblPr>
        <w:tblW w:w="9360" w:type="dxa"/>
        <w:jc w:val="center"/>
        <w:tblCellMar>
          <w:left w:w="0" w:type="dxa"/>
          <w:right w:w="0" w:type="dxa"/>
        </w:tblCellMar>
        <w:tblLook w:val="04A0" w:firstRow="1" w:lastRow="0" w:firstColumn="1" w:lastColumn="0" w:noHBand="0" w:noVBand="1"/>
      </w:tblPr>
      <w:tblGrid>
        <w:gridCol w:w="4212"/>
        <w:gridCol w:w="936"/>
        <w:gridCol w:w="4212"/>
      </w:tblGrid>
      <w:tr w:rsidR="00F90FFE" w:rsidRPr="00F90FFE" w:rsidTr="00F90FFE">
        <w:trPr>
          <w:jc w:val="center"/>
        </w:trPr>
        <w:tc>
          <w:tcPr>
            <w:tcW w:w="2250" w:type="pct"/>
            <w:tcBorders>
              <w:bottom w:val="single" w:sz="8" w:space="0" w:color="000000"/>
            </w:tcBorders>
            <w:hideMark/>
          </w:tcPr>
          <w:p w:rsidR="00F90FFE" w:rsidRPr="00F90FFE" w:rsidRDefault="00F90FFE" w:rsidP="00F90FFE">
            <w:pPr>
              <w:spacing w:after="0" w:line="240" w:lineRule="auto"/>
              <w:jc w:val="center"/>
              <w:rPr>
                <w:rFonts w:ascii="Calibri" w:eastAsia="Times New Roman" w:hAnsi="Calibri" w:cs="Times New Roman"/>
              </w:rPr>
            </w:pPr>
            <w:r w:rsidRPr="00F90FFE">
              <w:rPr>
                <w:rFonts w:ascii="Times New Roman" w:eastAsia="Times New Roman" w:hAnsi="Times New Roman" w:cs="Times New Roman"/>
                <w:b/>
                <w:bCs/>
                <w:sz w:val="20"/>
                <w:szCs w:val="20"/>
              </w:rPr>
              <w:t>Nevada</w:t>
            </w:r>
          </w:p>
        </w:tc>
        <w:tc>
          <w:tcPr>
            <w:tcW w:w="500" w:type="pct"/>
            <w:hideMark/>
          </w:tcPr>
          <w:p w:rsidR="00F90FFE" w:rsidRPr="00F90FFE" w:rsidRDefault="00F90FFE" w:rsidP="00F90FFE">
            <w:pPr>
              <w:spacing w:after="0" w:line="240" w:lineRule="auto"/>
              <w:jc w:val="center"/>
              <w:rPr>
                <w:rFonts w:ascii="Calibri" w:eastAsia="Times New Roman" w:hAnsi="Calibri" w:cs="Times New Roman"/>
              </w:rPr>
            </w:pPr>
            <w:r w:rsidRPr="00F90FFE">
              <w:rPr>
                <w:rFonts w:ascii="Calibri" w:eastAsia="Times New Roman" w:hAnsi="Calibri" w:cs="Times New Roman"/>
                <w:sz w:val="20"/>
                <w:szCs w:val="20"/>
              </w:rPr>
              <w:t> </w:t>
            </w:r>
          </w:p>
        </w:tc>
        <w:tc>
          <w:tcPr>
            <w:tcW w:w="2250" w:type="pct"/>
            <w:tcBorders>
              <w:bottom w:val="single" w:sz="8" w:space="0" w:color="000000"/>
            </w:tcBorders>
            <w:hideMark/>
          </w:tcPr>
          <w:p w:rsidR="00F90FFE" w:rsidRPr="00F90FFE" w:rsidRDefault="00F90FFE" w:rsidP="00F90FFE">
            <w:pPr>
              <w:spacing w:after="0" w:line="240" w:lineRule="auto"/>
              <w:jc w:val="center"/>
              <w:rPr>
                <w:rFonts w:ascii="Calibri" w:eastAsia="Times New Roman" w:hAnsi="Calibri" w:cs="Times New Roman"/>
              </w:rPr>
            </w:pPr>
            <w:r w:rsidRPr="00F90FFE">
              <w:rPr>
                <w:rFonts w:ascii="Times New Roman" w:eastAsia="Times New Roman" w:hAnsi="Times New Roman" w:cs="Times New Roman"/>
                <w:b/>
                <w:bCs/>
                <w:sz w:val="20"/>
                <w:szCs w:val="20"/>
              </w:rPr>
              <w:t>46-2510769</w:t>
            </w:r>
          </w:p>
        </w:tc>
      </w:tr>
      <w:tr w:rsidR="00F90FFE" w:rsidRPr="00F90FFE" w:rsidTr="00F90FFE">
        <w:trPr>
          <w:jc w:val="center"/>
        </w:trPr>
        <w:tc>
          <w:tcPr>
            <w:tcW w:w="0" w:type="auto"/>
            <w:hideMark/>
          </w:tcPr>
          <w:p w:rsidR="00F90FFE" w:rsidRPr="00F90FFE" w:rsidRDefault="00F90FFE" w:rsidP="00F90FFE">
            <w:pPr>
              <w:spacing w:after="0" w:line="240" w:lineRule="auto"/>
              <w:jc w:val="center"/>
              <w:rPr>
                <w:rFonts w:ascii="Calibri" w:eastAsia="Times New Roman" w:hAnsi="Calibri" w:cs="Times New Roman"/>
                <w:sz w:val="18"/>
                <w:szCs w:val="18"/>
              </w:rPr>
            </w:pPr>
            <w:r w:rsidRPr="00F90FFE">
              <w:rPr>
                <w:rFonts w:ascii="Times New Roman" w:eastAsia="Times New Roman" w:hAnsi="Times New Roman" w:cs="Times New Roman"/>
                <w:i/>
                <w:iCs/>
                <w:sz w:val="18"/>
                <w:szCs w:val="18"/>
              </w:rPr>
              <w:t>(State or other jurisdiction of incorporation or organization)</w:t>
            </w:r>
          </w:p>
        </w:tc>
        <w:tc>
          <w:tcPr>
            <w:tcW w:w="0" w:type="auto"/>
            <w:hideMark/>
          </w:tcPr>
          <w:p w:rsidR="00F90FFE" w:rsidRPr="00F90FFE" w:rsidRDefault="00F90FFE" w:rsidP="00F90FFE">
            <w:pPr>
              <w:spacing w:after="0" w:line="240" w:lineRule="auto"/>
              <w:jc w:val="center"/>
              <w:rPr>
                <w:rFonts w:ascii="Calibri" w:eastAsia="Times New Roman" w:hAnsi="Calibri" w:cs="Times New Roman"/>
                <w:sz w:val="18"/>
                <w:szCs w:val="18"/>
              </w:rPr>
            </w:pPr>
            <w:r w:rsidRPr="00F90FFE">
              <w:rPr>
                <w:rFonts w:ascii="Calibri" w:eastAsia="Times New Roman" w:hAnsi="Calibri" w:cs="Times New Roman"/>
                <w:i/>
                <w:iCs/>
                <w:sz w:val="18"/>
                <w:szCs w:val="18"/>
              </w:rPr>
              <w:t> </w:t>
            </w:r>
          </w:p>
        </w:tc>
        <w:tc>
          <w:tcPr>
            <w:tcW w:w="0" w:type="auto"/>
            <w:hideMark/>
          </w:tcPr>
          <w:p w:rsidR="00F90FFE" w:rsidRPr="00F90FFE" w:rsidRDefault="00F90FFE" w:rsidP="00F90FFE">
            <w:pPr>
              <w:spacing w:after="0" w:line="240" w:lineRule="auto"/>
              <w:jc w:val="center"/>
              <w:rPr>
                <w:rFonts w:ascii="Calibri" w:eastAsia="Times New Roman" w:hAnsi="Calibri" w:cs="Times New Roman"/>
                <w:sz w:val="18"/>
                <w:szCs w:val="18"/>
              </w:rPr>
            </w:pPr>
            <w:r w:rsidRPr="00F90FFE">
              <w:rPr>
                <w:rFonts w:ascii="Times New Roman" w:eastAsia="Times New Roman" w:hAnsi="Times New Roman" w:cs="Times New Roman"/>
                <w:i/>
                <w:iCs/>
                <w:sz w:val="18"/>
                <w:szCs w:val="18"/>
              </w:rPr>
              <w:t>(I.R.S. Employer Identification No.)</w:t>
            </w:r>
          </w:p>
        </w:tc>
      </w:tr>
    </w:tbl>
    <w:p w:rsidR="00F90FFE" w:rsidRPr="00F90FFE" w:rsidRDefault="00F90FFE" w:rsidP="00F90FFE">
      <w:pPr>
        <w:spacing w:after="0" w:line="240" w:lineRule="auto"/>
        <w:ind w:firstLine="720"/>
        <w:jc w:val="both"/>
        <w:rPr>
          <w:rFonts w:ascii="Times New Roman" w:eastAsia="Times New Roman" w:hAnsi="Times New Roman" w:cs="Times New Roman"/>
        </w:rPr>
      </w:pPr>
      <w:r w:rsidRPr="00F90FFE">
        <w:rPr>
          <w:rFonts w:ascii="Times New Roman" w:eastAsia="Times New Roman" w:hAnsi="Times New Roman" w:cs="Times New Roman"/>
        </w:rPr>
        <w:t> </w:t>
      </w:r>
    </w:p>
    <w:tbl>
      <w:tblPr>
        <w:tblW w:w="4320" w:type="dxa"/>
        <w:jc w:val="center"/>
        <w:tblCellMar>
          <w:left w:w="0" w:type="dxa"/>
          <w:right w:w="0" w:type="dxa"/>
        </w:tblCellMar>
        <w:tblLook w:val="04A0" w:firstRow="1" w:lastRow="0" w:firstColumn="1" w:lastColumn="0" w:noHBand="0" w:noVBand="1"/>
      </w:tblPr>
      <w:tblGrid>
        <w:gridCol w:w="4320"/>
      </w:tblGrid>
      <w:tr w:rsidR="00F90FFE" w:rsidRPr="00F90FFE" w:rsidTr="00F90FFE">
        <w:trPr>
          <w:jc w:val="center"/>
        </w:trPr>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rPr>
            </w:pPr>
            <w:r w:rsidRPr="00F90FFE">
              <w:rPr>
                <w:rFonts w:ascii="Times New Roman" w:eastAsia="Times New Roman" w:hAnsi="Times New Roman" w:cs="Times New Roman"/>
                <w:b/>
                <w:bCs/>
                <w:sz w:val="20"/>
                <w:szCs w:val="20"/>
              </w:rPr>
              <w:t>100 Cummings Center, Suite 247-C</w:t>
            </w:r>
          </w:p>
        </w:tc>
      </w:tr>
      <w:tr w:rsidR="00F90FFE" w:rsidRPr="00F90FFE" w:rsidTr="00F90FFE">
        <w:trPr>
          <w:jc w:val="center"/>
        </w:trPr>
        <w:tc>
          <w:tcPr>
            <w:tcW w:w="0" w:type="auto"/>
            <w:tcBorders>
              <w:bottom w:val="single" w:sz="8" w:space="0" w:color="000000"/>
            </w:tcBorders>
            <w:vAlign w:val="center"/>
            <w:hideMark/>
          </w:tcPr>
          <w:p w:rsidR="00F90FFE" w:rsidRPr="00F90FFE" w:rsidRDefault="00F90FFE" w:rsidP="00F90FFE">
            <w:pPr>
              <w:spacing w:after="0" w:line="240" w:lineRule="auto"/>
              <w:jc w:val="center"/>
              <w:rPr>
                <w:rFonts w:ascii="Times New Roman" w:eastAsia="Times New Roman" w:hAnsi="Times New Roman" w:cs="Times New Roman"/>
              </w:rPr>
            </w:pPr>
            <w:r w:rsidRPr="00F90FFE">
              <w:rPr>
                <w:rFonts w:ascii="Times New Roman" w:eastAsia="Times New Roman" w:hAnsi="Times New Roman" w:cs="Times New Roman"/>
                <w:b/>
                <w:bCs/>
                <w:sz w:val="20"/>
                <w:szCs w:val="20"/>
              </w:rPr>
              <w:t>Beverly, MA 01915</w:t>
            </w:r>
          </w:p>
        </w:tc>
      </w:tr>
      <w:tr w:rsidR="00F90FFE" w:rsidRPr="00F90FFE" w:rsidTr="00F90FFE">
        <w:trPr>
          <w:jc w:val="center"/>
        </w:trPr>
        <w:tc>
          <w:tcPr>
            <w:tcW w:w="0" w:type="auto"/>
            <w:vAlign w:val="center"/>
            <w:hideMark/>
          </w:tcPr>
          <w:p w:rsidR="00F90FFE" w:rsidRPr="00F90FFE" w:rsidRDefault="00F90FFE" w:rsidP="00F90FFE">
            <w:pPr>
              <w:spacing w:after="0" w:line="240" w:lineRule="auto"/>
              <w:jc w:val="center"/>
              <w:rPr>
                <w:rFonts w:ascii="Times New Roman" w:eastAsia="Times New Roman" w:hAnsi="Times New Roman" w:cs="Times New Roman"/>
              </w:rPr>
            </w:pPr>
            <w:r w:rsidRPr="00F90FFE">
              <w:rPr>
                <w:rFonts w:ascii="Times New Roman" w:eastAsia="Times New Roman" w:hAnsi="Times New Roman" w:cs="Times New Roman"/>
                <w:i/>
                <w:iCs/>
                <w:sz w:val="18"/>
                <w:szCs w:val="18"/>
              </w:rPr>
              <w:t>(Address of principal executive offices, Zip Code)</w:t>
            </w:r>
          </w:p>
        </w:tc>
      </w:tr>
      <w:tr w:rsidR="00F90FFE" w:rsidRPr="00F90FFE" w:rsidTr="00F90FFE">
        <w:trPr>
          <w:jc w:val="center"/>
        </w:trPr>
        <w:tc>
          <w:tcPr>
            <w:tcW w:w="0" w:type="auto"/>
            <w:vAlign w:val="center"/>
            <w:hideMark/>
          </w:tcPr>
          <w:p w:rsidR="00F90FFE" w:rsidRPr="00F90FFE" w:rsidRDefault="00F90FFE" w:rsidP="00F90FFE">
            <w:pPr>
              <w:spacing w:after="0" w:line="240" w:lineRule="auto"/>
              <w:jc w:val="center"/>
              <w:rPr>
                <w:rFonts w:ascii="Times New Roman" w:eastAsia="Times New Roman" w:hAnsi="Times New Roman" w:cs="Times New Roman"/>
              </w:rPr>
            </w:pPr>
            <w:r w:rsidRPr="00F90FFE">
              <w:rPr>
                <w:rFonts w:ascii="Times New Roman" w:eastAsia="Times New Roman" w:hAnsi="Times New Roman" w:cs="Times New Roman"/>
              </w:rPr>
              <w:t> </w:t>
            </w:r>
          </w:p>
        </w:tc>
      </w:tr>
      <w:tr w:rsidR="00F90FFE" w:rsidRPr="00F90FFE" w:rsidTr="00F90FFE">
        <w:trPr>
          <w:jc w:val="center"/>
        </w:trPr>
        <w:tc>
          <w:tcPr>
            <w:tcW w:w="0" w:type="auto"/>
            <w:tcBorders>
              <w:bottom w:val="single" w:sz="8" w:space="0" w:color="000000"/>
            </w:tcBorders>
            <w:vAlign w:val="center"/>
            <w:hideMark/>
          </w:tcPr>
          <w:p w:rsidR="00F90FFE" w:rsidRPr="00F90FFE" w:rsidRDefault="00F90FFE" w:rsidP="00F90FFE">
            <w:pPr>
              <w:spacing w:after="0" w:line="240" w:lineRule="auto"/>
              <w:jc w:val="center"/>
              <w:rPr>
                <w:rFonts w:ascii="Times New Roman" w:eastAsia="Times New Roman" w:hAnsi="Times New Roman" w:cs="Times New Roman"/>
              </w:rPr>
            </w:pPr>
            <w:r w:rsidRPr="00F90FFE">
              <w:rPr>
                <w:rFonts w:ascii="Times New Roman" w:eastAsia="Times New Roman" w:hAnsi="Times New Roman" w:cs="Times New Roman"/>
                <w:b/>
                <w:bCs/>
                <w:sz w:val="20"/>
                <w:szCs w:val="20"/>
              </w:rPr>
              <w:t>(305) 515-4118</w:t>
            </w:r>
          </w:p>
        </w:tc>
      </w:tr>
      <w:tr w:rsidR="00F90FFE" w:rsidRPr="00F90FFE" w:rsidTr="00F90FFE">
        <w:trPr>
          <w:jc w:val="center"/>
        </w:trPr>
        <w:tc>
          <w:tcPr>
            <w:tcW w:w="0" w:type="auto"/>
            <w:vAlign w:val="center"/>
            <w:hideMark/>
          </w:tcPr>
          <w:p w:rsidR="00F90FFE" w:rsidRPr="00F90FFE" w:rsidRDefault="00F90FFE" w:rsidP="00F90FFE">
            <w:pPr>
              <w:spacing w:after="0" w:line="240" w:lineRule="auto"/>
              <w:jc w:val="center"/>
              <w:rPr>
                <w:rFonts w:ascii="Times New Roman" w:eastAsia="Times New Roman" w:hAnsi="Times New Roman" w:cs="Times New Roman"/>
              </w:rPr>
            </w:pPr>
            <w:r w:rsidRPr="00F90FFE">
              <w:rPr>
                <w:rFonts w:ascii="Times New Roman" w:eastAsia="Times New Roman" w:hAnsi="Times New Roman" w:cs="Times New Roman"/>
                <w:i/>
                <w:iCs/>
                <w:sz w:val="18"/>
                <w:szCs w:val="18"/>
              </w:rPr>
              <w:t>(Registrant's telephone number, including area code)</w:t>
            </w:r>
          </w:p>
        </w:tc>
      </w:tr>
      <w:tr w:rsidR="00F90FFE" w:rsidRPr="00F90FFE" w:rsidTr="00F90FFE">
        <w:trPr>
          <w:jc w:val="center"/>
        </w:trPr>
        <w:tc>
          <w:tcPr>
            <w:tcW w:w="0" w:type="auto"/>
            <w:vAlign w:val="center"/>
            <w:hideMark/>
          </w:tcPr>
          <w:p w:rsidR="00F90FFE" w:rsidRPr="00F90FFE" w:rsidRDefault="00F90FFE" w:rsidP="00F90FFE">
            <w:pPr>
              <w:spacing w:after="0" w:line="240" w:lineRule="auto"/>
              <w:jc w:val="center"/>
              <w:rPr>
                <w:rFonts w:ascii="Times New Roman" w:eastAsia="Times New Roman" w:hAnsi="Times New Roman" w:cs="Times New Roman"/>
              </w:rPr>
            </w:pPr>
            <w:r w:rsidRPr="00F90FFE">
              <w:rPr>
                <w:rFonts w:ascii="Times New Roman" w:eastAsia="Times New Roman" w:hAnsi="Times New Roman" w:cs="Times New Roman"/>
              </w:rPr>
              <w:t> </w:t>
            </w:r>
          </w:p>
        </w:tc>
      </w:tr>
      <w:tr w:rsidR="00F90FFE" w:rsidRPr="00F90FFE" w:rsidTr="00F90FFE">
        <w:trPr>
          <w:jc w:val="center"/>
        </w:trPr>
        <w:tc>
          <w:tcPr>
            <w:tcW w:w="0" w:type="auto"/>
            <w:tcBorders>
              <w:bottom w:val="single" w:sz="8" w:space="0" w:color="000000"/>
            </w:tcBorders>
            <w:vAlign w:val="center"/>
            <w:hideMark/>
          </w:tcPr>
          <w:p w:rsidR="00F90FFE" w:rsidRPr="00F90FFE" w:rsidRDefault="00F90FFE" w:rsidP="00F90FFE">
            <w:pPr>
              <w:spacing w:after="0" w:line="240" w:lineRule="auto"/>
              <w:jc w:val="center"/>
              <w:rPr>
                <w:rFonts w:ascii="Times New Roman" w:eastAsia="Times New Roman" w:hAnsi="Times New Roman" w:cs="Times New Roman"/>
              </w:rPr>
            </w:pPr>
            <w:r w:rsidRPr="00F90FFE">
              <w:rPr>
                <w:rFonts w:ascii="Times New Roman" w:eastAsia="Times New Roman" w:hAnsi="Times New Roman" w:cs="Times New Roman"/>
              </w:rPr>
              <w:t> </w:t>
            </w:r>
          </w:p>
        </w:tc>
      </w:tr>
      <w:tr w:rsidR="00F90FFE" w:rsidRPr="00F90FFE" w:rsidTr="00F90FFE">
        <w:trPr>
          <w:jc w:val="center"/>
        </w:trPr>
        <w:tc>
          <w:tcPr>
            <w:tcW w:w="0" w:type="auto"/>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i/>
                <w:iCs/>
                <w:sz w:val="18"/>
                <w:szCs w:val="18"/>
              </w:rPr>
              <w:t>(Former Name, Former Address and Former Fiscal Year if Changed Since Last Report)</w:t>
            </w:r>
          </w:p>
        </w:tc>
      </w:tr>
    </w:tbl>
    <w:p w:rsidR="00F90FFE" w:rsidRPr="00F90FFE" w:rsidRDefault="00F90FFE" w:rsidP="00F90FFE">
      <w:pPr>
        <w:spacing w:after="0" w:line="240" w:lineRule="auto"/>
        <w:ind w:firstLine="720"/>
        <w:jc w:val="both"/>
        <w:rPr>
          <w:rFonts w:ascii="Times New Roman" w:eastAsia="Times New Roman" w:hAnsi="Times New Roman" w:cs="Times New Roman"/>
          <w:sz w:val="14"/>
          <w:szCs w:val="14"/>
        </w:rPr>
      </w:pPr>
      <w:r w:rsidRPr="00F90FFE">
        <w:rPr>
          <w:rFonts w:ascii="Times New Roman" w:eastAsia="Times New Roman" w:hAnsi="Times New Roman" w:cs="Times New Roman"/>
          <w:sz w:val="14"/>
          <w:szCs w:val="14"/>
        </w:rPr>
        <w:t> </w:t>
      </w:r>
      <w:r w:rsidRPr="00F90FFE">
        <w:rPr>
          <w:rFonts w:ascii="Times New Roman" w:eastAsia="Times New Roman" w:hAnsi="Times New Roman" w:cs="Times New Roman"/>
          <w:b/>
          <w:bCs/>
          <w:sz w:val="14"/>
          <w:szCs w:val="14"/>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F90FFE" w:rsidRPr="00F90FFE" w:rsidRDefault="00F90FFE" w:rsidP="00F90FFE">
      <w:pPr>
        <w:spacing w:after="0" w:line="240" w:lineRule="auto"/>
        <w:ind w:firstLine="720"/>
        <w:rPr>
          <w:rFonts w:ascii="Times New Roman" w:eastAsia="Times New Roman" w:hAnsi="Times New Roman" w:cs="Times New Roman"/>
          <w:sz w:val="10"/>
          <w:szCs w:val="10"/>
        </w:rPr>
      </w:pPr>
      <w:r w:rsidRPr="00F90FFE">
        <w:rPr>
          <w:rFonts w:ascii="Times New Roman" w:eastAsia="Times New Roman" w:hAnsi="Times New Roman" w:cs="Times New Roman"/>
          <w:sz w:val="10"/>
          <w:szCs w:val="10"/>
        </w:rPr>
        <w:t> </w:t>
      </w:r>
    </w:p>
    <w:p w:rsidR="00F90FFE" w:rsidRPr="00F90FFE" w:rsidRDefault="00F90FFE" w:rsidP="00F90FFE">
      <w:pPr>
        <w:spacing w:after="0" w:line="240"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 xml:space="preserve">Yes </w:t>
      </w:r>
      <w:r w:rsidRPr="00F90FFE">
        <w:rPr>
          <w:rFonts w:ascii="MS Mincho" w:eastAsia="MS Mincho" w:hAnsi="MS Mincho" w:cs="Times New Roman" w:hint="eastAsia"/>
          <w:sz w:val="20"/>
          <w:szCs w:val="20"/>
        </w:rPr>
        <w:t>☒</w:t>
      </w:r>
      <w:r w:rsidRPr="00F90FFE">
        <w:rPr>
          <w:rFonts w:ascii="Times New Roman" w:eastAsia="Times New Roman" w:hAnsi="Times New Roman" w:cs="Times New Roman"/>
          <w:sz w:val="20"/>
          <w:szCs w:val="20"/>
        </w:rPr>
        <w:t xml:space="preserve">                                          No </w:t>
      </w:r>
      <w:r w:rsidRPr="00F90FFE">
        <w:rPr>
          <w:rFonts w:ascii="MS Mincho" w:eastAsia="MS Mincho" w:hAnsi="MS Mincho" w:cs="Times New Roman" w:hint="eastAsia"/>
          <w:sz w:val="20"/>
          <w:szCs w:val="20"/>
        </w:rPr>
        <w:t>☐</w:t>
      </w:r>
    </w:p>
    <w:p w:rsidR="00F90FFE" w:rsidRPr="00F90FFE" w:rsidRDefault="00F90FFE" w:rsidP="00F90FFE">
      <w:pPr>
        <w:spacing w:after="0" w:line="240" w:lineRule="auto"/>
        <w:ind w:firstLine="720"/>
        <w:rPr>
          <w:rFonts w:ascii="Times New Roman" w:eastAsia="Times New Roman" w:hAnsi="Times New Roman" w:cs="Times New Roman"/>
          <w:sz w:val="10"/>
          <w:szCs w:val="10"/>
        </w:rPr>
      </w:pPr>
      <w:r w:rsidRPr="00F90FFE">
        <w:rPr>
          <w:rFonts w:ascii="Times New Roman" w:eastAsia="Times New Roman" w:hAnsi="Times New Roman" w:cs="Times New Roman"/>
          <w:sz w:val="10"/>
          <w:szCs w:val="1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F90FFE" w:rsidRPr="00F90FFE" w:rsidRDefault="00F90FFE" w:rsidP="00F90FFE">
      <w:pPr>
        <w:spacing w:after="0" w:line="240" w:lineRule="auto"/>
        <w:ind w:firstLine="720"/>
        <w:rPr>
          <w:rFonts w:ascii="Times New Roman" w:eastAsia="Times New Roman" w:hAnsi="Times New Roman" w:cs="Times New Roman"/>
          <w:sz w:val="10"/>
          <w:szCs w:val="10"/>
        </w:rPr>
      </w:pPr>
      <w:r w:rsidRPr="00F90FFE">
        <w:rPr>
          <w:rFonts w:ascii="Times New Roman" w:eastAsia="Times New Roman" w:hAnsi="Times New Roman" w:cs="Times New Roman"/>
          <w:sz w:val="10"/>
          <w:szCs w:val="10"/>
        </w:rPr>
        <w:t> </w:t>
      </w:r>
    </w:p>
    <w:p w:rsidR="00F90FFE" w:rsidRPr="00F90FFE" w:rsidRDefault="00F90FFE" w:rsidP="00F90FFE">
      <w:pPr>
        <w:spacing w:after="0" w:line="240"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 xml:space="preserve">Yes </w:t>
      </w:r>
      <w:r w:rsidRPr="00F90FFE">
        <w:rPr>
          <w:rFonts w:ascii="MS Mincho" w:eastAsia="MS Mincho" w:hAnsi="MS Mincho" w:cs="Times New Roman" w:hint="eastAsia"/>
          <w:sz w:val="20"/>
          <w:szCs w:val="20"/>
        </w:rPr>
        <w:t>☒</w:t>
      </w:r>
      <w:r w:rsidRPr="00F90FFE">
        <w:rPr>
          <w:rFonts w:ascii="Times New Roman" w:eastAsia="Times New Roman" w:hAnsi="Times New Roman" w:cs="Times New Roman"/>
          <w:sz w:val="20"/>
          <w:szCs w:val="20"/>
        </w:rPr>
        <w:t xml:space="preserve">                                          No </w:t>
      </w:r>
      <w:r w:rsidRPr="00F90FFE">
        <w:rPr>
          <w:rFonts w:ascii="MS Mincho" w:eastAsia="MS Mincho" w:hAnsi="MS Mincho" w:cs="Times New Roman" w:hint="eastAsia"/>
          <w:sz w:val="20"/>
          <w:szCs w:val="20"/>
        </w:rPr>
        <w:t>☐</w:t>
      </w:r>
    </w:p>
    <w:p w:rsidR="00F90FFE" w:rsidRPr="00F90FFE" w:rsidRDefault="00F90FFE" w:rsidP="00F90FFE">
      <w:pPr>
        <w:spacing w:after="0" w:line="240" w:lineRule="auto"/>
        <w:ind w:firstLine="720"/>
        <w:jc w:val="both"/>
        <w:rPr>
          <w:rFonts w:ascii="Times New Roman" w:eastAsia="Times New Roman" w:hAnsi="Times New Roman" w:cs="Times New Roman"/>
          <w:sz w:val="10"/>
          <w:szCs w:val="10"/>
        </w:rPr>
      </w:pPr>
      <w:r w:rsidRPr="00F90FFE">
        <w:rPr>
          <w:rFonts w:ascii="Times New Roman" w:eastAsia="Times New Roman" w:hAnsi="Times New Roman" w:cs="Times New Roman"/>
          <w:sz w:val="10"/>
          <w:szCs w:val="10"/>
        </w:rPr>
        <w:t> </w:t>
      </w:r>
    </w:p>
    <w:p w:rsidR="00F90FFE" w:rsidRPr="00F90FFE" w:rsidRDefault="00F90FFE" w:rsidP="00F90FFE">
      <w:pPr>
        <w:spacing w:after="0" w:line="240" w:lineRule="auto"/>
        <w:jc w:val="both"/>
        <w:rPr>
          <w:rFonts w:ascii="Times New Roman" w:eastAsia="Times New Roman" w:hAnsi="Times New Roman" w:cs="Times New Roman"/>
        </w:rPr>
      </w:pPr>
      <w:r w:rsidRPr="00F90FFE">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definitions of “large accelerated filer,” “accelerated filer” and “smaller reporting company” in Ruble 12b-2 of the Exchange Act.</w:t>
      </w:r>
    </w:p>
    <w:p w:rsidR="00F90FFE" w:rsidRPr="00F90FFE" w:rsidRDefault="00F90FFE" w:rsidP="00F90FFE">
      <w:pPr>
        <w:spacing w:after="0" w:line="240" w:lineRule="auto"/>
        <w:ind w:firstLine="720"/>
        <w:jc w:val="both"/>
        <w:rPr>
          <w:rFonts w:ascii="Times New Roman" w:eastAsia="Times New Roman" w:hAnsi="Times New Roman" w:cs="Times New Roman"/>
        </w:rPr>
      </w:pPr>
      <w:r w:rsidRPr="00F90FFE">
        <w:rPr>
          <w:rFonts w:ascii="Times New Roman" w:eastAsia="Times New Roman" w:hAnsi="Times New Roman" w:cs="Times New Roman"/>
          <w:sz w:val="10"/>
          <w:szCs w:val="10"/>
        </w:rPr>
        <w:t>  </w:t>
      </w:r>
    </w:p>
    <w:tbl>
      <w:tblPr>
        <w:tblW w:w="9360" w:type="dxa"/>
        <w:tblCellMar>
          <w:left w:w="0" w:type="dxa"/>
          <w:right w:w="0" w:type="dxa"/>
        </w:tblCellMar>
        <w:tblLook w:val="04A0" w:firstRow="1" w:lastRow="0" w:firstColumn="1" w:lastColumn="0" w:noHBand="0" w:noVBand="1"/>
      </w:tblPr>
      <w:tblGrid>
        <w:gridCol w:w="4586"/>
        <w:gridCol w:w="468"/>
        <w:gridCol w:w="2621"/>
        <w:gridCol w:w="1685"/>
      </w:tblGrid>
      <w:tr w:rsidR="00F90FFE" w:rsidRPr="00F90FFE" w:rsidTr="00F90FFE">
        <w:tc>
          <w:tcPr>
            <w:tcW w:w="2450" w:type="pct"/>
            <w:hideMark/>
          </w:tcPr>
          <w:p w:rsidR="00F90FFE" w:rsidRPr="00F90FFE" w:rsidRDefault="00F90FFE" w:rsidP="00F90FFE">
            <w:pPr>
              <w:spacing w:after="0" w:line="240" w:lineRule="auto"/>
              <w:rPr>
                <w:rFonts w:ascii="Calibri" w:eastAsia="Times New Roman" w:hAnsi="Calibri" w:cs="Times New Roman"/>
              </w:rPr>
            </w:pPr>
            <w:r w:rsidRPr="00F90FFE">
              <w:rPr>
                <w:rFonts w:ascii="Times New Roman" w:eastAsia="Times New Roman" w:hAnsi="Times New Roman" w:cs="Times New Roman"/>
                <w:sz w:val="20"/>
                <w:szCs w:val="20"/>
              </w:rPr>
              <w:t>Large accelerated filer</w:t>
            </w:r>
          </w:p>
        </w:tc>
        <w:tc>
          <w:tcPr>
            <w:tcW w:w="250" w:type="pct"/>
            <w:hideMark/>
          </w:tcPr>
          <w:p w:rsidR="00F90FFE" w:rsidRPr="00F90FFE" w:rsidRDefault="00F90FFE" w:rsidP="00F90FFE">
            <w:pPr>
              <w:spacing w:after="0" w:line="240" w:lineRule="auto"/>
              <w:rPr>
                <w:rFonts w:ascii="Calibri" w:eastAsia="Times New Roman" w:hAnsi="Calibri" w:cs="Times New Roman"/>
              </w:rPr>
            </w:pPr>
            <w:r w:rsidRPr="00F90FFE">
              <w:rPr>
                <w:rFonts w:ascii="Times New Roman" w:eastAsia="Times New Roman" w:hAnsi="Times New Roman" w:cs="Times New Roman"/>
                <w:sz w:val="20"/>
                <w:szCs w:val="20"/>
              </w:rPr>
              <w:t> </w:t>
            </w:r>
            <w:r w:rsidRPr="00F90FFE">
              <w:rPr>
                <w:rFonts w:ascii="MS Mincho" w:eastAsia="MS Mincho" w:hAnsi="MS Mincho" w:cs="Times New Roman" w:hint="eastAsia"/>
                <w:sz w:val="20"/>
                <w:szCs w:val="20"/>
              </w:rPr>
              <w:t>☐</w:t>
            </w:r>
          </w:p>
        </w:tc>
        <w:tc>
          <w:tcPr>
            <w:tcW w:w="1400" w:type="pct"/>
            <w:hideMark/>
          </w:tcPr>
          <w:p w:rsidR="00F90FFE" w:rsidRPr="00F90FFE" w:rsidRDefault="00F90FFE" w:rsidP="00F90FFE">
            <w:pPr>
              <w:spacing w:after="0" w:line="240" w:lineRule="auto"/>
              <w:rPr>
                <w:rFonts w:ascii="Calibri" w:eastAsia="Times New Roman" w:hAnsi="Calibri" w:cs="Times New Roman"/>
              </w:rPr>
            </w:pPr>
            <w:r w:rsidRPr="00F90FFE">
              <w:rPr>
                <w:rFonts w:ascii="Times New Roman" w:eastAsia="Times New Roman" w:hAnsi="Times New Roman" w:cs="Times New Roman"/>
                <w:sz w:val="20"/>
                <w:szCs w:val="20"/>
              </w:rPr>
              <w:t>Accelerated filer</w:t>
            </w:r>
          </w:p>
        </w:tc>
        <w:tc>
          <w:tcPr>
            <w:tcW w:w="900" w:type="pct"/>
            <w:hideMark/>
          </w:tcPr>
          <w:p w:rsidR="00F90FFE" w:rsidRPr="00F90FFE" w:rsidRDefault="00F90FFE" w:rsidP="00F90FFE">
            <w:pPr>
              <w:spacing w:after="0" w:line="240" w:lineRule="auto"/>
              <w:rPr>
                <w:rFonts w:ascii="Calibri" w:eastAsia="Times New Roman" w:hAnsi="Calibri" w:cs="Times New Roman"/>
              </w:rPr>
            </w:pPr>
            <w:r w:rsidRPr="00F90FFE">
              <w:rPr>
                <w:rFonts w:ascii="Times New Roman" w:eastAsia="Times New Roman" w:hAnsi="Times New Roman" w:cs="Times New Roman"/>
                <w:sz w:val="20"/>
                <w:szCs w:val="20"/>
              </w:rPr>
              <w:t> </w:t>
            </w:r>
            <w:r w:rsidRPr="00F90FFE">
              <w:rPr>
                <w:rFonts w:ascii="MS Mincho" w:eastAsia="MS Mincho" w:hAnsi="MS Mincho" w:cs="Times New Roman" w:hint="eastAsia"/>
                <w:sz w:val="20"/>
                <w:szCs w:val="20"/>
              </w:rPr>
              <w:t>☐</w:t>
            </w:r>
          </w:p>
        </w:tc>
      </w:tr>
      <w:tr w:rsidR="00F90FFE" w:rsidRPr="00F90FFE" w:rsidTr="00F90FFE">
        <w:tc>
          <w:tcPr>
            <w:tcW w:w="0" w:type="auto"/>
            <w:hideMark/>
          </w:tcPr>
          <w:p w:rsidR="00F90FFE" w:rsidRPr="00F90FFE" w:rsidRDefault="00F90FFE" w:rsidP="00F90FFE">
            <w:pPr>
              <w:spacing w:after="0" w:line="240" w:lineRule="auto"/>
              <w:rPr>
                <w:rFonts w:ascii="Times New Roman" w:eastAsia="Times New Roman" w:hAnsi="Times New Roman" w:cs="Times New Roman"/>
              </w:rPr>
            </w:pPr>
            <w:r w:rsidRPr="00F90FFE">
              <w:rPr>
                <w:rFonts w:ascii="Times New Roman" w:eastAsia="Times New Roman" w:hAnsi="Times New Roman" w:cs="Times New Roman"/>
                <w:sz w:val="20"/>
                <w:szCs w:val="20"/>
              </w:rPr>
              <w:t>Non-accelerated filer</w:t>
            </w:r>
          </w:p>
          <w:p w:rsidR="00F90FFE" w:rsidRPr="00F90FFE" w:rsidRDefault="00F90FFE" w:rsidP="00F90FFE">
            <w:pPr>
              <w:spacing w:after="0" w:line="240" w:lineRule="auto"/>
              <w:rPr>
                <w:rFonts w:ascii="Times New Roman" w:eastAsia="Times New Roman" w:hAnsi="Times New Roman" w:cs="Times New Roman"/>
                <w:sz w:val="18"/>
                <w:szCs w:val="18"/>
              </w:rPr>
            </w:pPr>
            <w:r w:rsidRPr="00F90FFE">
              <w:rPr>
                <w:rFonts w:ascii="Times New Roman" w:eastAsia="Times New Roman" w:hAnsi="Times New Roman" w:cs="Times New Roman"/>
                <w:sz w:val="16"/>
                <w:szCs w:val="16"/>
              </w:rPr>
              <w:t>(Do not check if a smaller reporting company)</w:t>
            </w:r>
          </w:p>
        </w:tc>
        <w:tc>
          <w:tcPr>
            <w:tcW w:w="0" w:type="auto"/>
            <w:hideMark/>
          </w:tcPr>
          <w:p w:rsidR="00F90FFE" w:rsidRPr="00F90FFE" w:rsidRDefault="00F90FFE" w:rsidP="00F90FFE">
            <w:pPr>
              <w:spacing w:after="0" w:line="240" w:lineRule="auto"/>
              <w:rPr>
                <w:rFonts w:ascii="Calibri" w:eastAsia="Times New Roman" w:hAnsi="Calibri" w:cs="Times New Roman"/>
              </w:rPr>
            </w:pPr>
            <w:r w:rsidRPr="00F90FFE">
              <w:rPr>
                <w:rFonts w:ascii="Times New Roman" w:eastAsia="Times New Roman" w:hAnsi="Times New Roman" w:cs="Times New Roman"/>
                <w:sz w:val="20"/>
                <w:szCs w:val="20"/>
              </w:rPr>
              <w:t> </w:t>
            </w:r>
            <w:r w:rsidRPr="00F90FFE">
              <w:rPr>
                <w:rFonts w:ascii="MS Mincho" w:eastAsia="MS Mincho" w:hAnsi="MS Mincho" w:cs="Times New Roman" w:hint="eastAsia"/>
                <w:sz w:val="20"/>
                <w:szCs w:val="20"/>
              </w:rPr>
              <w:t>☐</w:t>
            </w:r>
          </w:p>
        </w:tc>
        <w:tc>
          <w:tcPr>
            <w:tcW w:w="0" w:type="auto"/>
            <w:hideMark/>
          </w:tcPr>
          <w:p w:rsidR="00F90FFE" w:rsidRPr="00F90FFE" w:rsidRDefault="00F90FFE" w:rsidP="00F90FFE">
            <w:pPr>
              <w:spacing w:after="0" w:line="240" w:lineRule="auto"/>
              <w:rPr>
                <w:rFonts w:ascii="Calibri" w:eastAsia="Times New Roman" w:hAnsi="Calibri" w:cs="Times New Roman"/>
              </w:rPr>
            </w:pPr>
            <w:r w:rsidRPr="00F90FFE">
              <w:rPr>
                <w:rFonts w:ascii="Times New Roman" w:eastAsia="Times New Roman" w:hAnsi="Times New Roman" w:cs="Times New Roman"/>
                <w:sz w:val="20"/>
                <w:szCs w:val="20"/>
              </w:rPr>
              <w:t>Smaller reporting company</w:t>
            </w:r>
          </w:p>
        </w:tc>
        <w:tc>
          <w:tcPr>
            <w:tcW w:w="0" w:type="auto"/>
            <w:hideMark/>
          </w:tcPr>
          <w:p w:rsidR="00F90FFE" w:rsidRPr="00F90FFE" w:rsidRDefault="00F90FFE" w:rsidP="00F90FFE">
            <w:pPr>
              <w:spacing w:after="0" w:line="240" w:lineRule="auto"/>
              <w:rPr>
                <w:rFonts w:ascii="Calibri" w:eastAsia="Times New Roman" w:hAnsi="Calibri" w:cs="Times New Roman"/>
              </w:rPr>
            </w:pPr>
            <w:r w:rsidRPr="00F90FFE">
              <w:rPr>
                <w:rFonts w:ascii="Times New Roman" w:eastAsia="Times New Roman" w:hAnsi="Times New Roman" w:cs="Times New Roman"/>
                <w:sz w:val="20"/>
                <w:szCs w:val="20"/>
              </w:rPr>
              <w:t> </w:t>
            </w:r>
            <w:r w:rsidRPr="00F90FFE">
              <w:rPr>
                <w:rFonts w:ascii="MS Mincho" w:eastAsia="MS Mincho" w:hAnsi="MS Mincho" w:cs="Times New Roman" w:hint="eastAsia"/>
                <w:sz w:val="20"/>
                <w:szCs w:val="20"/>
              </w:rPr>
              <w:t>☒</w:t>
            </w:r>
          </w:p>
        </w:tc>
      </w:tr>
    </w:tbl>
    <w:p w:rsidR="00F90FFE" w:rsidRPr="00F90FFE" w:rsidRDefault="00F90FFE" w:rsidP="00F90FFE">
      <w:pPr>
        <w:spacing w:after="0" w:line="240" w:lineRule="auto"/>
        <w:rPr>
          <w:rFonts w:ascii="Calibri" w:eastAsia="Times New Roman" w:hAnsi="Calibri" w:cs="Times New Roman"/>
          <w:sz w:val="10"/>
          <w:szCs w:val="10"/>
        </w:rPr>
      </w:pPr>
      <w:r w:rsidRPr="00F90FFE">
        <w:rPr>
          <w:rFonts w:ascii="Calibri" w:eastAsia="Times New Roman" w:hAnsi="Calibri" w:cs="Times New Roman"/>
          <w:sz w:val="10"/>
          <w:szCs w:val="1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Indicate by check mark whether the registrant is a shell company (as defined in Rule 12b-2 of the Exchange Act).</w:t>
      </w:r>
    </w:p>
    <w:p w:rsidR="00F90FFE" w:rsidRPr="00F90FFE" w:rsidRDefault="00F90FFE" w:rsidP="00F90FFE">
      <w:pPr>
        <w:spacing w:after="0" w:line="240" w:lineRule="auto"/>
        <w:ind w:firstLine="720"/>
        <w:rPr>
          <w:rFonts w:ascii="Times New Roman" w:eastAsia="Times New Roman" w:hAnsi="Times New Roman" w:cs="Times New Roman"/>
          <w:sz w:val="10"/>
          <w:szCs w:val="10"/>
        </w:rPr>
      </w:pPr>
      <w:r w:rsidRPr="00F90FFE">
        <w:rPr>
          <w:rFonts w:ascii="Times New Roman" w:eastAsia="Times New Roman" w:hAnsi="Times New Roman" w:cs="Times New Roman"/>
          <w:sz w:val="10"/>
          <w:szCs w:val="10"/>
        </w:rPr>
        <w:t> </w:t>
      </w:r>
    </w:p>
    <w:p w:rsidR="00F90FFE" w:rsidRPr="00F90FFE" w:rsidRDefault="00F90FFE" w:rsidP="00F90FFE">
      <w:pPr>
        <w:spacing w:after="0" w:line="240"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 xml:space="preserve">Yes </w:t>
      </w:r>
      <w:r w:rsidRPr="00F90FFE">
        <w:rPr>
          <w:rFonts w:ascii="MS Mincho" w:eastAsia="MS Mincho" w:hAnsi="MS Mincho" w:cs="Times New Roman" w:hint="eastAsia"/>
          <w:sz w:val="20"/>
          <w:szCs w:val="20"/>
        </w:rPr>
        <w:t>☐</w:t>
      </w:r>
      <w:r w:rsidRPr="00F90FFE">
        <w:rPr>
          <w:rFonts w:ascii="Times New Roman" w:eastAsia="Times New Roman" w:hAnsi="Times New Roman" w:cs="Times New Roman"/>
          <w:sz w:val="20"/>
          <w:szCs w:val="20"/>
        </w:rPr>
        <w:t xml:space="preserve">                                          No </w:t>
      </w:r>
      <w:r w:rsidRPr="00F90FFE">
        <w:rPr>
          <w:rFonts w:ascii="MS Mincho" w:eastAsia="MS Mincho" w:hAnsi="MS Mincho" w:cs="Times New Roman" w:hint="eastAsia"/>
          <w:sz w:val="20"/>
          <w:szCs w:val="20"/>
        </w:rPr>
        <w:t>☒</w:t>
      </w:r>
    </w:p>
    <w:p w:rsidR="00F90FFE" w:rsidRPr="00F90FFE" w:rsidRDefault="00F90FFE" w:rsidP="00F90FFE">
      <w:pPr>
        <w:spacing w:after="0" w:line="240" w:lineRule="auto"/>
        <w:ind w:firstLine="720"/>
        <w:jc w:val="center"/>
        <w:rPr>
          <w:rFonts w:ascii="Times New Roman" w:eastAsia="Times New Roman" w:hAnsi="Times New Roman" w:cs="Times New Roman"/>
          <w:sz w:val="10"/>
          <w:szCs w:val="10"/>
        </w:rPr>
      </w:pPr>
      <w:r w:rsidRPr="00F90FFE">
        <w:rPr>
          <w:rFonts w:ascii="Times New Roman" w:eastAsia="Times New Roman" w:hAnsi="Times New Roman" w:cs="Times New Roman"/>
          <w:sz w:val="10"/>
          <w:szCs w:val="10"/>
        </w:rPr>
        <w:lastRenderedPageBreak/>
        <w:t> </w:t>
      </w:r>
    </w:p>
    <w:p w:rsidR="00F90FFE" w:rsidRPr="00F90FFE" w:rsidRDefault="00F90FFE" w:rsidP="00F90FFE">
      <w:pPr>
        <w:spacing w:after="0" w:line="240" w:lineRule="auto"/>
        <w:jc w:val="both"/>
        <w:rPr>
          <w:rFonts w:ascii="Times New Roman" w:eastAsia="Times New Roman" w:hAnsi="Times New Roman" w:cs="Times New Roman"/>
        </w:rPr>
      </w:pPr>
      <w:r w:rsidRPr="00F90FFE">
        <w:rPr>
          <w:rFonts w:ascii="Times New Roman" w:eastAsia="Times New Roman" w:hAnsi="Times New Roman" w:cs="Times New Roman"/>
          <w:sz w:val="20"/>
          <w:szCs w:val="20"/>
        </w:rPr>
        <w:t>The number of shares outstanding of each of the issuer’s classes of common equity, as of September 30, 2014 was 87,210,000</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tcBorders>
              <w:bottom w:val="single" w:sz="8" w:space="0" w:color="000000"/>
            </w:tcBorders>
            <w:hideMark/>
          </w:tcPr>
          <w:p w:rsidR="00F90FFE" w:rsidRPr="00F90FFE" w:rsidRDefault="00F90FFE" w:rsidP="00F90FFE">
            <w:pPr>
              <w:spacing w:after="0" w:line="240" w:lineRule="auto"/>
              <w:jc w:val="center"/>
              <w:rPr>
                <w:rFonts w:ascii="Calibri" w:eastAsia="Times New Roman" w:hAnsi="Calibri" w:cs="Times New Roman"/>
                <w:sz w:val="8"/>
                <w:szCs w:val="8"/>
              </w:rPr>
            </w:pPr>
            <w:r w:rsidRPr="00F90FFE">
              <w:rPr>
                <w:rFonts w:ascii="Calibri" w:eastAsia="Times New Roman" w:hAnsi="Calibri" w:cs="Times New Roman"/>
                <w:sz w:val="8"/>
                <w:szCs w:val="8"/>
              </w:rPr>
              <w:t> </w:t>
            </w:r>
          </w:p>
        </w:tc>
      </w:tr>
      <w:tr w:rsidR="00F90FFE" w:rsidRPr="00F90FFE" w:rsidTr="00F90FFE">
        <w:tc>
          <w:tcPr>
            <w:tcW w:w="0" w:type="auto"/>
            <w:tcBorders>
              <w:bottom w:val="single" w:sz="24" w:space="0" w:color="000000"/>
            </w:tcBorders>
            <w:hideMark/>
          </w:tcPr>
          <w:p w:rsidR="00F90FFE" w:rsidRPr="00F90FFE" w:rsidRDefault="00F90FFE" w:rsidP="00F90FFE">
            <w:pPr>
              <w:spacing w:after="0" w:line="240" w:lineRule="auto"/>
              <w:jc w:val="center"/>
              <w:rPr>
                <w:rFonts w:ascii="Calibri" w:eastAsia="Times New Roman" w:hAnsi="Calibri" w:cs="Times New Roman"/>
                <w:sz w:val="8"/>
                <w:szCs w:val="8"/>
              </w:rPr>
            </w:pPr>
            <w:r w:rsidRPr="00F90FFE">
              <w:rPr>
                <w:rFonts w:ascii="Calibri" w:eastAsia="Times New Roman" w:hAnsi="Calibri" w:cs="Times New Roman"/>
                <w:sz w:val="8"/>
                <w:szCs w:val="8"/>
              </w:rPr>
              <w:t> </w:t>
            </w:r>
          </w:p>
        </w:tc>
      </w:tr>
    </w:tbl>
    <w:p w:rsidR="00F90FFE" w:rsidRPr="00F90FFE" w:rsidRDefault="00F90FFE" w:rsidP="00F90FFE">
      <w:pPr>
        <w:spacing w:after="12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4"/>
                <w:szCs w:val="24"/>
              </w:rPr>
            </w:pP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4"/>
                <w:szCs w:val="24"/>
              </w:rPr>
            </w:pPr>
          </w:p>
        </w:tc>
      </w:tr>
    </w:tbl>
    <w:p w:rsidR="00F90FFE" w:rsidRPr="00F90FFE" w:rsidRDefault="00F90FFE" w:rsidP="00F90FFE">
      <w:pPr>
        <w:spacing w:after="0" w:line="240" w:lineRule="auto"/>
        <w:jc w:val="center"/>
        <w:rPr>
          <w:rFonts w:ascii="Times New Roman" w:eastAsia="Times New Roman" w:hAnsi="Times New Roman" w:cs="Times New Roman"/>
          <w:sz w:val="20"/>
          <w:szCs w:val="20"/>
        </w:rPr>
      </w:pPr>
      <w:bookmarkStart w:id="0" w:name="a_001"/>
      <w:bookmarkEnd w:id="0"/>
      <w:r w:rsidRPr="00F90FFE">
        <w:rPr>
          <w:rFonts w:ascii="Times New Roman" w:eastAsia="Times New Roman" w:hAnsi="Times New Roman" w:cs="Times New Roman"/>
          <w:b/>
          <w:bCs/>
          <w:sz w:val="20"/>
          <w:szCs w:val="20"/>
        </w:rPr>
        <w:t>TABLE OF CONTENTS</w:t>
      </w:r>
    </w:p>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PART I – FINANCIAL INFORMATION</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9"/>
        <w:gridCol w:w="7862"/>
        <w:gridCol w:w="749"/>
      </w:tblGrid>
      <w:tr w:rsidR="00F90FFE" w:rsidRPr="00F90FFE" w:rsidTr="00F90FFE">
        <w:tc>
          <w:tcPr>
            <w:tcW w:w="4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Item 1.</w:t>
            </w:r>
          </w:p>
        </w:tc>
        <w:tc>
          <w:tcPr>
            <w:tcW w:w="4200" w:type="pct"/>
            <w:hideMark/>
          </w:tcPr>
          <w:p w:rsidR="00F90FFE" w:rsidRPr="00F90FFE" w:rsidRDefault="00F90FFE" w:rsidP="00F90FFE">
            <w:pPr>
              <w:spacing w:after="0" w:line="276" w:lineRule="auto"/>
              <w:rPr>
                <w:rFonts w:ascii="Calibri" w:eastAsia="Times New Roman" w:hAnsi="Calibri" w:cs="Times New Roman"/>
                <w:sz w:val="20"/>
                <w:szCs w:val="20"/>
              </w:rPr>
            </w:pPr>
            <w:hyperlink w:anchor="a_002" w:history="1">
              <w:r w:rsidRPr="00F90FFE">
                <w:rPr>
                  <w:rFonts w:ascii="Times New Roman" w:eastAsia="Times New Roman" w:hAnsi="Times New Roman" w:cs="Times New Roman"/>
                  <w:color w:val="0000FF"/>
                  <w:sz w:val="20"/>
                  <w:szCs w:val="20"/>
                  <w:u w:val="single"/>
                </w:rPr>
                <w:t>Financial Statements (unaudited)</w:t>
              </w:r>
            </w:hyperlink>
          </w:p>
        </w:tc>
        <w:tc>
          <w:tcPr>
            <w:tcW w:w="400" w:type="pct"/>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4</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12" w:history="1">
              <w:r w:rsidRPr="00F90FFE">
                <w:rPr>
                  <w:rFonts w:ascii="Times New Roman" w:eastAsia="Times New Roman" w:hAnsi="Times New Roman" w:cs="Times New Roman"/>
                  <w:color w:val="0000FF"/>
                  <w:sz w:val="20"/>
                  <w:szCs w:val="20"/>
                  <w:u w:val="single"/>
                </w:rPr>
                <w:t>Balance Sheets as of September 30, 2014 (unaudited) and June 30, 2014 (audited)</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4</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13" w:history="1">
              <w:r w:rsidRPr="00F90FFE">
                <w:rPr>
                  <w:rFonts w:ascii="Times New Roman" w:eastAsia="Times New Roman" w:hAnsi="Times New Roman" w:cs="Times New Roman"/>
                  <w:color w:val="0000FF"/>
                  <w:sz w:val="20"/>
                  <w:szCs w:val="20"/>
                  <w:u w:val="single"/>
                </w:rPr>
                <w:t>Statements of Operations (unaudited) for the three months ended September 30, 2014 and 2013</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5</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14" w:history="1">
              <w:r w:rsidRPr="00F90FFE">
                <w:rPr>
                  <w:rFonts w:ascii="Times New Roman" w:eastAsia="Times New Roman" w:hAnsi="Times New Roman" w:cs="Times New Roman"/>
                  <w:color w:val="0000FF"/>
                  <w:sz w:val="20"/>
                  <w:szCs w:val="20"/>
                  <w:u w:val="single"/>
                </w:rPr>
                <w:t>Statement of Changes in Shareholders’ Equity for the period to September 30, 2014</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6</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15" w:history="1">
              <w:r w:rsidRPr="00F90FFE">
                <w:rPr>
                  <w:rFonts w:ascii="Times New Roman" w:eastAsia="Times New Roman" w:hAnsi="Times New Roman" w:cs="Times New Roman"/>
                  <w:color w:val="0000FF"/>
                  <w:sz w:val="20"/>
                  <w:szCs w:val="20"/>
                  <w:u w:val="single"/>
                </w:rPr>
                <w:t>Statements of Cash Flows (unaudited) for the three months ended September 30, 2014 and 2013</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7</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16" w:history="1">
              <w:r w:rsidRPr="00F90FFE">
                <w:rPr>
                  <w:rFonts w:ascii="Times New Roman" w:eastAsia="Times New Roman" w:hAnsi="Times New Roman" w:cs="Times New Roman"/>
                  <w:color w:val="0000FF"/>
                  <w:sz w:val="20"/>
                  <w:szCs w:val="20"/>
                  <w:u w:val="single"/>
                </w:rPr>
                <w:t>Notes to Financial Statements (unaudited)</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8</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Item 2.</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03" w:history="1">
              <w:r w:rsidRPr="00F90FFE">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13</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Item 3.</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04" w:history="1">
              <w:r w:rsidRPr="00F90FFE">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16</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Item 4.</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05" w:history="1">
              <w:r w:rsidRPr="00F90FFE">
                <w:rPr>
                  <w:rFonts w:ascii="Times New Roman" w:eastAsia="Times New Roman" w:hAnsi="Times New Roman" w:cs="Times New Roman"/>
                  <w:color w:val="0000FF"/>
                  <w:sz w:val="20"/>
                  <w:szCs w:val="20"/>
                  <w:u w:val="single"/>
                </w:rPr>
                <w:t>Controls and Procedures</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16</w:t>
            </w:r>
          </w:p>
        </w:tc>
      </w:tr>
    </w:tbl>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PART II – OTHER INFORMATION</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9"/>
        <w:gridCol w:w="7862"/>
        <w:gridCol w:w="749"/>
      </w:tblGrid>
      <w:tr w:rsidR="00F90FFE" w:rsidRPr="00F90FFE" w:rsidTr="00F90FFE">
        <w:tc>
          <w:tcPr>
            <w:tcW w:w="4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Item 1.</w:t>
            </w:r>
          </w:p>
        </w:tc>
        <w:tc>
          <w:tcPr>
            <w:tcW w:w="4200" w:type="pct"/>
            <w:hideMark/>
          </w:tcPr>
          <w:p w:rsidR="00F90FFE" w:rsidRPr="00F90FFE" w:rsidRDefault="00F90FFE" w:rsidP="00F90FFE">
            <w:pPr>
              <w:spacing w:after="0" w:line="276" w:lineRule="auto"/>
              <w:rPr>
                <w:rFonts w:ascii="Calibri" w:eastAsia="Times New Roman" w:hAnsi="Calibri" w:cs="Times New Roman"/>
                <w:sz w:val="20"/>
                <w:szCs w:val="20"/>
              </w:rPr>
            </w:pPr>
            <w:hyperlink w:anchor="a_006" w:history="1">
              <w:r w:rsidRPr="00F90FFE">
                <w:rPr>
                  <w:rFonts w:ascii="Times New Roman" w:eastAsia="Times New Roman" w:hAnsi="Times New Roman" w:cs="Times New Roman"/>
                  <w:color w:val="0000FF"/>
                  <w:sz w:val="20"/>
                  <w:szCs w:val="20"/>
                  <w:u w:val="single"/>
                </w:rPr>
                <w:t>Legal Proceedings</w:t>
              </w:r>
            </w:hyperlink>
          </w:p>
        </w:tc>
        <w:tc>
          <w:tcPr>
            <w:tcW w:w="400" w:type="pct"/>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17</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Item 2.</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07" w:history="1">
              <w:r w:rsidRPr="00F90FFE">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17</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Item 3.</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08" w:history="1">
              <w:r w:rsidRPr="00F90FFE">
                <w:rPr>
                  <w:rFonts w:ascii="Times New Roman" w:eastAsia="Times New Roman" w:hAnsi="Times New Roman" w:cs="Times New Roman"/>
                  <w:color w:val="0000FF"/>
                  <w:sz w:val="20"/>
                  <w:szCs w:val="20"/>
                  <w:u w:val="single"/>
                </w:rPr>
                <w:t>Defaults Upon Senior Securities</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17</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Item 4.</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09" w:history="1">
              <w:r w:rsidRPr="00F90FFE">
                <w:rPr>
                  <w:rFonts w:ascii="Times New Roman" w:eastAsia="Times New Roman" w:hAnsi="Times New Roman" w:cs="Times New Roman"/>
                  <w:color w:val="0000FF"/>
                  <w:sz w:val="20"/>
                  <w:szCs w:val="20"/>
                  <w:u w:val="single"/>
                </w:rPr>
                <w:t>Mine Safety Disclosures</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  17</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Item 5.</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10" w:history="1">
              <w:r w:rsidRPr="00F90FFE">
                <w:rPr>
                  <w:rFonts w:ascii="Times New Roman" w:eastAsia="Times New Roman" w:hAnsi="Times New Roman" w:cs="Times New Roman"/>
                  <w:color w:val="0000FF"/>
                  <w:sz w:val="20"/>
                  <w:szCs w:val="20"/>
                  <w:u w:val="single"/>
                </w:rPr>
                <w:t>Other Information</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  17</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Item 6.</w:t>
            </w:r>
          </w:p>
        </w:tc>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hyperlink w:anchor="a_011" w:history="1">
              <w:r w:rsidRPr="00F90FFE">
                <w:rPr>
                  <w:rFonts w:ascii="Times New Roman" w:eastAsia="Times New Roman" w:hAnsi="Times New Roman" w:cs="Times New Roman"/>
                  <w:color w:val="0000FF"/>
                  <w:sz w:val="20"/>
                  <w:szCs w:val="20"/>
                  <w:u w:val="single"/>
                </w:rPr>
                <w:t>Exhibits</w:t>
              </w:r>
            </w:hyperlink>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17</w:t>
            </w:r>
          </w:p>
        </w:tc>
      </w:tr>
      <w:tr w:rsidR="00F90FFE" w:rsidRPr="00F90FFE" w:rsidTr="00F90FFE">
        <w:tc>
          <w:tcPr>
            <w:tcW w:w="0" w:type="auto"/>
            <w:vAlign w:val="center"/>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center"/>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center"/>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r>
      <w:tr w:rsidR="00F90FFE" w:rsidRPr="00F90FFE" w:rsidTr="00F90FFE">
        <w:tc>
          <w:tcPr>
            <w:tcW w:w="0" w:type="auto"/>
            <w:gridSpan w:val="2"/>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SIGNATURES</w:t>
            </w:r>
          </w:p>
        </w:tc>
        <w:tc>
          <w:tcPr>
            <w:tcW w:w="0" w:type="auto"/>
            <w:hideMark/>
          </w:tcPr>
          <w:p w:rsidR="00F90FFE" w:rsidRPr="00F90FFE" w:rsidRDefault="00F90FFE" w:rsidP="00F90FFE">
            <w:pPr>
              <w:spacing w:after="0" w:line="276" w:lineRule="auto"/>
              <w:jc w:val="right"/>
              <w:rPr>
                <w:rFonts w:ascii="Calibri" w:eastAsia="Times New Roman" w:hAnsi="Calibri" w:cs="Times New Roman"/>
                <w:sz w:val="20"/>
                <w:szCs w:val="20"/>
              </w:rPr>
            </w:pPr>
            <w:r w:rsidRPr="00F90FFE">
              <w:rPr>
                <w:rFonts w:ascii="Times New Roman" w:eastAsia="Times New Roman" w:hAnsi="Times New Roman" w:cs="Times New Roman"/>
                <w:sz w:val="20"/>
                <w:szCs w:val="20"/>
              </w:rPr>
              <w:t>18</w:t>
            </w:r>
          </w:p>
        </w:tc>
      </w:tr>
    </w:tbl>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-2-</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200" w:line="276" w:lineRule="auto"/>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r w:rsidRPr="00F90FFE">
        <w:rPr>
          <w:rFonts w:ascii="Times New Roman" w:eastAsia="Times New Roman" w:hAnsi="Times New Roman" w:cs="Times New Roman"/>
          <w:b/>
          <w:bCs/>
          <w:sz w:val="20"/>
          <w:szCs w:val="20"/>
        </w:rPr>
        <w:t>FORWARD-LOOKING STATEMENTS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xml:space="preserve">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w:t>
      </w:r>
      <w:r w:rsidRPr="00F90FFE">
        <w:rPr>
          <w:rFonts w:ascii="Times New Roman" w:eastAsia="Times New Roman" w:hAnsi="Times New Roman" w:cs="Times New Roman"/>
          <w:sz w:val="20"/>
          <w:szCs w:val="20"/>
        </w:rPr>
        <w:lastRenderedPageBreak/>
        <w:t>review and consider the various disclosures we make in this report and our other reports filed with the Securities and Exchange Commission that attempt to advise interested parties of the risks, uncertainties and other factors that may affect our business.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“NanoAntibiotics”, “Company”, “we”, “our”, and “us” refer to NanoAntibiotics, Inc.</w:t>
      </w:r>
    </w:p>
    <w:p w:rsidR="00F90FFE" w:rsidRPr="00F90FFE" w:rsidRDefault="00F90FFE" w:rsidP="00F90FFE">
      <w:pPr>
        <w:spacing w:after="0" w:line="240" w:lineRule="auto"/>
        <w:ind w:firstLine="720"/>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ind w:firstLine="720"/>
        <w:jc w:val="right"/>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Part 1.  Financial Information</w:t>
      </w:r>
    </w:p>
    <w:p w:rsidR="00F90FFE" w:rsidRPr="00F90FFE" w:rsidRDefault="00F90FFE" w:rsidP="00F90FFE">
      <w:pPr>
        <w:spacing w:after="0" w:line="240" w:lineRule="auto"/>
        <w:rPr>
          <w:rFonts w:ascii="Times New Roman" w:eastAsia="Times New Roman" w:hAnsi="Times New Roman" w:cs="Times New Roman"/>
          <w:sz w:val="20"/>
          <w:szCs w:val="20"/>
        </w:rPr>
      </w:pPr>
      <w:bookmarkStart w:id="1" w:name="a_002"/>
      <w:bookmarkEnd w:id="1"/>
      <w:r w:rsidRPr="00F90FFE">
        <w:rPr>
          <w:rFonts w:ascii="Times New Roman" w:eastAsia="Times New Roman" w:hAnsi="Times New Roman" w:cs="Times New Roman"/>
          <w:sz w:val="20"/>
          <w:szCs w:val="20"/>
        </w:rPr>
        <w:t>Item 1.  Financial Statements</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NANOANTIBIOTICS, INC.</w:t>
            </w:r>
          </w:p>
        </w:tc>
      </w:tr>
      <w:tr w:rsidR="00F90FFE" w:rsidRPr="00F90FFE" w:rsidTr="00F90FFE">
        <w:tc>
          <w:tcPr>
            <w:tcW w:w="0" w:type="auto"/>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bookmarkStart w:id="2" w:name="a_012"/>
            <w:bookmarkEnd w:id="2"/>
            <w:r w:rsidRPr="00F90FFE">
              <w:rPr>
                <w:rFonts w:ascii="Times New Roman" w:eastAsia="Times New Roman" w:hAnsi="Times New Roman" w:cs="Times New Roman"/>
                <w:b/>
                <w:bCs/>
                <w:sz w:val="20"/>
                <w:szCs w:val="20"/>
              </w:rPr>
              <w:t>BALANCE SHEETS</w:t>
            </w:r>
          </w:p>
        </w:tc>
      </w:tr>
    </w:tbl>
    <w:p w:rsidR="00F90FFE" w:rsidRPr="00F90FFE" w:rsidRDefault="00F90FFE" w:rsidP="00F90FFE">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185"/>
        <w:gridCol w:w="741"/>
        <w:gridCol w:w="92"/>
        <w:gridCol w:w="1112"/>
        <w:gridCol w:w="92"/>
        <w:gridCol w:w="741"/>
        <w:gridCol w:w="92"/>
        <w:gridCol w:w="1112"/>
        <w:gridCol w:w="92"/>
        <w:gridCol w:w="50"/>
        <w:gridCol w:w="17"/>
        <w:gridCol w:w="17"/>
        <w:gridCol w:w="17"/>
      </w:tblGrid>
      <w:tr w:rsidR="00F90FFE" w:rsidRPr="00F90FFE" w:rsidTr="00F90FFE">
        <w:trPr>
          <w:gridAfter w:val="4"/>
        </w:trPr>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September 30,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June 30,</w:t>
            </w:r>
          </w:p>
        </w:tc>
      </w:tr>
      <w:tr w:rsidR="00F90FFE" w:rsidRPr="00F90FFE" w:rsidTr="00F90FFE">
        <w:trPr>
          <w:gridAfter w:val="4"/>
        </w:trPr>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2014</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2014</w:t>
            </w:r>
          </w:p>
        </w:tc>
      </w:tr>
      <w:tr w:rsidR="00F90FFE" w:rsidRPr="00F90FFE" w:rsidTr="00F90FFE">
        <w:trPr>
          <w:gridAfter w:val="4"/>
        </w:trPr>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(unaudited)</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r>
      <w:tr w:rsidR="00F90FFE" w:rsidRPr="00F90FFE" w:rsidTr="00F90FFE">
        <w:tc>
          <w:tcPr>
            <w:tcW w:w="0" w:type="auto"/>
            <w:gridSpan w:val="5"/>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ASSETS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gridSpan w:val="3"/>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gridSpan w:val="3"/>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CURRENT ASSETS: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2800" w:type="pct"/>
            <w:tcMar>
              <w:top w:w="0" w:type="dxa"/>
              <w:left w:w="4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Cash</w:t>
            </w:r>
          </w:p>
        </w:tc>
        <w:tc>
          <w:tcPr>
            <w:tcW w:w="400" w:type="pct"/>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600" w:type="pct"/>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318,147</w:t>
            </w:r>
          </w:p>
        </w:tc>
        <w:tc>
          <w:tcPr>
            <w:tcW w:w="50" w:type="pct"/>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600" w:type="pct"/>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332,864</w:t>
            </w:r>
          </w:p>
        </w:tc>
        <w:tc>
          <w:tcPr>
            <w:tcW w:w="50" w:type="pct"/>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6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318,147</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332,864</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318,147</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332,864</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LIABILITIES AND STOCKHOLDERS' DEFICIT</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CURRENT LIABILITIES: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4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Accounts Payable</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1,800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4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201,844</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161,475</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6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203,644</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161,475</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STOCKHOLDERS' EQUITY</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Preferred stock; $0.001 par value; 10,000,000 shares authorized; 0 shares issued</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and outstanding</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Common stock, $0.0001 par value; 300,000,000 shares authorized;</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shares issued and 87,210,000 shares issued and outstanding</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8,721</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8,721</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Capital in excess of par value</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514,485</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514,485</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Prepaid services paid for with common stock</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(10,521</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(12,411</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(398,182</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(339,406</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4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Total Stockholders' Equity</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114,503</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171,389</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TOTAL LIABILITIES AND STOCKHOLDERS' EQUITY</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318,147</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332,864</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bl>
    <w:p w:rsidR="00F90FFE" w:rsidRPr="00F90FFE" w:rsidRDefault="00F90FFE" w:rsidP="00F90FFE">
      <w:pPr>
        <w:spacing w:after="200" w:line="276"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See accompanying notes to financial statement</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-4-</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NANOANTIBIOTICS, INC.</w:t>
            </w:r>
          </w:p>
        </w:tc>
      </w:tr>
      <w:tr w:rsidR="00F90FFE" w:rsidRPr="00F90FFE" w:rsidTr="00F90FFE">
        <w:tc>
          <w:tcPr>
            <w:tcW w:w="0" w:type="auto"/>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bookmarkStart w:id="3" w:name="a_013"/>
            <w:bookmarkEnd w:id="3"/>
            <w:r w:rsidRPr="00F90FFE">
              <w:rPr>
                <w:rFonts w:ascii="Times New Roman" w:eastAsia="Times New Roman" w:hAnsi="Times New Roman" w:cs="Times New Roman"/>
                <w:b/>
                <w:bCs/>
                <w:sz w:val="20"/>
                <w:szCs w:val="20"/>
              </w:rPr>
              <w:t>STATEMENTS OF OPERATION</w:t>
            </w:r>
          </w:p>
        </w:tc>
      </w:tr>
    </w:tbl>
    <w:p w:rsidR="00F90FFE" w:rsidRPr="00F90FFE" w:rsidRDefault="00F90FFE" w:rsidP="00F90FFE">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228"/>
        <w:gridCol w:w="735"/>
        <w:gridCol w:w="100"/>
        <w:gridCol w:w="1150"/>
        <w:gridCol w:w="80"/>
        <w:gridCol w:w="736"/>
        <w:gridCol w:w="100"/>
        <w:gridCol w:w="1150"/>
        <w:gridCol w:w="81"/>
      </w:tblGrid>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For the Three Months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For the Three Months</w:t>
            </w:r>
          </w:p>
        </w:tc>
      </w:tr>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Ended September 30, 2014</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Ended September 30, 2013</w:t>
            </w:r>
          </w:p>
        </w:tc>
      </w:tr>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(unaudited)</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(unaudited)</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REVENUE:</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2800" w:type="pct"/>
            <w:tcMar>
              <w:top w:w="0" w:type="dxa"/>
              <w:left w:w="2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Sales</w:t>
            </w:r>
          </w:p>
        </w:tc>
        <w:tc>
          <w:tcPr>
            <w:tcW w:w="400" w:type="pct"/>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50" w:type="pct"/>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50" w:type="pct"/>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COST OF GOODS SOLD</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GROSS MARGIN</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OPERATING EXPENSES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Research and development expenses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3,400.00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11,420.00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Payroll expenses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40,825.00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42,163.00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Professional fees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12,244.00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2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Selling, general and administrative expenses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2,421.00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4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TOTAL OPERATING EXPENSES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58,890.00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53,583.00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LOSS FROM OPERATIONS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(58,890.00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(53,583.00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r>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OTHER EXPENSE (INCOME)</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Interest expense</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2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Interest income</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(114.00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(90.00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r>
      <w:tr w:rsidR="00F90FFE" w:rsidRPr="00F90FFE" w:rsidTr="00F90FFE">
        <w:tc>
          <w:tcPr>
            <w:tcW w:w="0" w:type="auto"/>
            <w:tcMar>
              <w:top w:w="0" w:type="dxa"/>
              <w:left w:w="4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TOTAL OTHER EXPENSE (INCOME)</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114.00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90.00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NET LOSS</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(58,776.00</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(53,493.00</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r>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NET LOSS PER COMMON SHARE, BASIC AND DILUTED</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r>
      <w:tr w:rsidR="00F90FFE" w:rsidRPr="00F90FFE" w:rsidTr="00F90FFE">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WEIGHTED AVERAGE NUMBER OF</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20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COMMON  SHARES OUTSTANDING, BASIC AND DILUTED</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87,210,000.00</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87,060,000.00</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bl>
    <w:p w:rsidR="00F90FFE" w:rsidRPr="00F90FFE" w:rsidRDefault="00F90FFE" w:rsidP="00F90FFE">
      <w:pPr>
        <w:spacing w:after="200" w:line="276"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See accompanying notes to financial statement</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NANOANTIBIOTICS, INC.</w:t>
            </w:r>
          </w:p>
        </w:tc>
      </w:tr>
      <w:tr w:rsidR="00F90FFE" w:rsidRPr="00F90FFE" w:rsidTr="00F90FFE">
        <w:tc>
          <w:tcPr>
            <w:tcW w:w="0" w:type="auto"/>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bookmarkStart w:id="4" w:name="a_014"/>
            <w:bookmarkEnd w:id="4"/>
            <w:r w:rsidRPr="00F90FFE">
              <w:rPr>
                <w:rFonts w:ascii="Times New Roman" w:eastAsia="Times New Roman" w:hAnsi="Times New Roman" w:cs="Times New Roman"/>
                <w:b/>
                <w:bCs/>
                <w:sz w:val="20"/>
                <w:szCs w:val="20"/>
              </w:rPr>
              <w:t>STATEMENT OF STOCKHOLDERS' EQUITY</w:t>
            </w:r>
          </w:p>
        </w:tc>
      </w:tr>
      <w:tr w:rsidR="00F90FFE" w:rsidRPr="00F90FFE" w:rsidTr="00F90FFE">
        <w:tc>
          <w:tcPr>
            <w:tcW w:w="0" w:type="auto"/>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FOR THE YEAR ENDED JUNE 30, 2014 AND THE THREE MONTHS ENDED SEPTEMBER 30, 2014</w:t>
            </w:r>
          </w:p>
        </w:tc>
      </w:tr>
    </w:tbl>
    <w:p w:rsidR="00F90FFE" w:rsidRPr="00F90FFE" w:rsidRDefault="00F90FFE" w:rsidP="00F90FFE">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374"/>
        <w:gridCol w:w="56"/>
        <w:gridCol w:w="56"/>
        <w:gridCol w:w="900"/>
        <w:gridCol w:w="56"/>
        <w:gridCol w:w="56"/>
        <w:gridCol w:w="101"/>
        <w:gridCol w:w="526"/>
        <w:gridCol w:w="87"/>
        <w:gridCol w:w="56"/>
        <w:gridCol w:w="100"/>
        <w:gridCol w:w="650"/>
        <w:gridCol w:w="56"/>
        <w:gridCol w:w="56"/>
        <w:gridCol w:w="101"/>
        <w:gridCol w:w="618"/>
        <w:gridCol w:w="98"/>
        <w:gridCol w:w="56"/>
        <w:gridCol w:w="142"/>
        <w:gridCol w:w="851"/>
        <w:gridCol w:w="141"/>
        <w:gridCol w:w="56"/>
        <w:gridCol w:w="146"/>
        <w:gridCol w:w="876"/>
        <w:gridCol w:w="145"/>
      </w:tblGrid>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gridSpan w:val="3"/>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gridSpan w:val="3"/>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gridSpan w:val="3"/>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Prepaid</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gridSpan w:val="3"/>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gridSpan w:val="3"/>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gridSpan w:val="3"/>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Capital in</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Services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right"/>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right"/>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Excess of</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Paid with</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Total</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7"/>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xml:space="preserve">Common Stock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Par</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Common</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Stockholders'</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Value</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Sock</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Deficit</w:t>
            </w:r>
          </w:p>
        </w:tc>
      </w:tr>
      <w:tr w:rsidR="00F90FFE" w:rsidRPr="00F90FFE" w:rsidTr="00F90FFE">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jc w:val="right"/>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jc w:val="right"/>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jc w:val="right"/>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jc w:val="right"/>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jc w:val="right"/>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jc w:val="right"/>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r>
      <w:tr w:rsidR="00F90FFE" w:rsidRPr="00F90FFE" w:rsidTr="00F90FFE">
        <w:tc>
          <w:tcPr>
            <w:tcW w:w="20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Balance, June 30, 2013</w:t>
            </w:r>
          </w:p>
        </w:tc>
        <w:tc>
          <w:tcPr>
            <w:tcW w:w="1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3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87,060,000</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1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3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8,706</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1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3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499,500</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1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3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1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3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(17,510</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1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3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490,696</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lastRenderedPageBreak/>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Issuance of common stock for services, $0.10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150,000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15</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14,985</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(12,411</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2,589</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Balance, June 30, 2014</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87,210,000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8,721</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514,485</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(12,411</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(339,406</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171,389</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Amortization of common stock for services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1,890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1,890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(58,776</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(58,776</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Balance, September 30, 2014</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8,721</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514,485</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(10,521</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(398,182</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114,503</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bl>
    <w:p w:rsidR="00F90FFE" w:rsidRPr="00F90FFE" w:rsidRDefault="00F90FFE" w:rsidP="00F90FFE">
      <w:pPr>
        <w:spacing w:after="200" w:line="276"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See accompanying notes to financial statement</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-6-</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218"/>
        <w:gridCol w:w="742"/>
        <w:gridCol w:w="102"/>
        <w:gridCol w:w="1116"/>
        <w:gridCol w:w="92"/>
        <w:gridCol w:w="743"/>
        <w:gridCol w:w="102"/>
        <w:gridCol w:w="1117"/>
        <w:gridCol w:w="92"/>
        <w:gridCol w:w="6"/>
        <w:gridCol w:w="6"/>
        <w:gridCol w:w="6"/>
        <w:gridCol w:w="6"/>
        <w:gridCol w:w="6"/>
        <w:gridCol w:w="6"/>
      </w:tblGrid>
      <w:tr w:rsidR="00F90FFE" w:rsidRPr="00F90FFE" w:rsidTr="00F90FFE">
        <w:tc>
          <w:tcPr>
            <w:tcW w:w="0" w:type="auto"/>
            <w:gridSpan w:val="15"/>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NANOANTIBIOTICS, INC.</w:t>
            </w:r>
          </w:p>
        </w:tc>
      </w:tr>
      <w:tr w:rsidR="00F90FFE" w:rsidRPr="00F90FFE" w:rsidTr="00F90FFE">
        <w:tc>
          <w:tcPr>
            <w:tcW w:w="0" w:type="auto"/>
            <w:gridSpan w:val="15"/>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bookmarkStart w:id="5" w:name="a_015"/>
            <w:bookmarkEnd w:id="5"/>
            <w:r w:rsidRPr="00F90FFE">
              <w:rPr>
                <w:rFonts w:ascii="Times New Roman" w:eastAsia="Times New Roman" w:hAnsi="Times New Roman" w:cs="Times New Roman"/>
                <w:b/>
                <w:bCs/>
                <w:sz w:val="20"/>
                <w:szCs w:val="20"/>
              </w:rPr>
              <w:t>STATEMENT OF CASH FLOWS</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gridSpan w:val="3"/>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gridSpan w:val="3"/>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For the Three Months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For the Three Months</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Ended September 30,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Ended September 30,</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2014</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2013</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(unaudited)</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(unaudited)</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CASH FLOWS FROM OPERATING ACTIVITIES: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2800" w:type="pct"/>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Net loss</w:t>
            </w:r>
          </w:p>
        </w:tc>
        <w:tc>
          <w:tcPr>
            <w:tcW w:w="4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6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(58,776</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4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6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(53,493</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Amortization of prepaid common stock for services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1,890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4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Increase (decrease) in:</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600" w:type="dxa"/>
              <w:bottom w:w="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Accounts Payable</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1,800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(6,355</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6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40,369</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(14,717</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(59,848</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CASH FLOWS FROM INVESTING ACTIVITIES: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Net cash used by investing activities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CASH FLOWS FROM FINANCING ACTIVITIES: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Issuance of common stock</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Net (decrease) increase in cash</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(14,717</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(59,848</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332,864</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505,696</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318,147</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445,848</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SUPPLEMENTAL CASH FLOW INFORMATION:</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20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jc w:val="right"/>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jc w:val="right"/>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bottom"/>
            <w:hideMark/>
          </w:tcPr>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r w:rsidR="00F90FFE" w:rsidRPr="00F90FFE" w:rsidTr="00F90FFE">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lastRenderedPageBreak/>
              <w:t>Issuance of common stock for services, 150,000 shares</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15,000  </w:t>
            </w:r>
          </w:p>
        </w:tc>
        <w:tc>
          <w:tcPr>
            <w:tcW w:w="0" w:type="auto"/>
            <w:tcMar>
              <w:top w:w="0" w:type="dxa"/>
              <w:left w:w="0" w:type="dxa"/>
              <w:bottom w:w="5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c>
          <w:tcPr>
            <w:tcW w:w="0" w:type="auto"/>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p>
        </w:tc>
      </w:tr>
    </w:tbl>
    <w:p w:rsidR="00F90FFE" w:rsidRPr="00F90FFE" w:rsidRDefault="00F90FFE" w:rsidP="00F90FFE">
      <w:pPr>
        <w:spacing w:after="200" w:line="276"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See accompanying notes to financial statement</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-7-</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NANOANTIBIOTICS, INC.</w:t>
      </w:r>
    </w:p>
    <w:p w:rsidR="00F90FFE" w:rsidRPr="00F90FFE" w:rsidRDefault="00F90FFE" w:rsidP="00F90FFE">
      <w:pPr>
        <w:spacing w:after="0" w:line="240" w:lineRule="auto"/>
        <w:jc w:val="center"/>
        <w:rPr>
          <w:rFonts w:ascii="Times New Roman" w:eastAsia="Times New Roman" w:hAnsi="Times New Roman" w:cs="Times New Roman"/>
          <w:sz w:val="20"/>
          <w:szCs w:val="20"/>
        </w:rPr>
      </w:pPr>
      <w:bookmarkStart w:id="6" w:name="a_016"/>
      <w:bookmarkEnd w:id="6"/>
      <w:r w:rsidRPr="00F90FFE">
        <w:rPr>
          <w:rFonts w:ascii="Times New Roman" w:eastAsia="Times New Roman" w:hAnsi="Times New Roman" w:cs="Times New Roman"/>
          <w:b/>
          <w:bCs/>
          <w:sz w:val="20"/>
          <w:szCs w:val="20"/>
        </w:rPr>
        <w:t>Notes to Financial Statements</w:t>
      </w:r>
    </w:p>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For the Three Months Ended September 30, 2014</w:t>
      </w:r>
    </w:p>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w:t>
      </w:r>
      <w:proofErr w:type="gramStart"/>
      <w:r w:rsidRPr="00F90FFE">
        <w:rPr>
          <w:rFonts w:ascii="Times New Roman" w:eastAsia="Times New Roman" w:hAnsi="Times New Roman" w:cs="Times New Roman"/>
          <w:b/>
          <w:bCs/>
          <w:sz w:val="20"/>
          <w:szCs w:val="20"/>
        </w:rPr>
        <w:t>unaudited</w:t>
      </w:r>
      <w:proofErr w:type="gramEnd"/>
      <w:r w:rsidRPr="00F90FFE">
        <w:rPr>
          <w:rFonts w:ascii="Times New Roman" w:eastAsia="Times New Roman" w:hAnsi="Times New Roman" w:cs="Times New Roman"/>
          <w:b/>
          <w:bCs/>
          <w:sz w:val="20"/>
          <w:szCs w:val="20"/>
        </w:rPr>
        <w:t>)</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F90FFE" w:rsidRPr="00F90FFE" w:rsidTr="00F90FFE">
        <w:tc>
          <w:tcPr>
            <w:tcW w:w="15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b/>
                <w:bCs/>
                <w:sz w:val="20"/>
                <w:szCs w:val="20"/>
              </w:rPr>
              <w:t>1.</w:t>
            </w:r>
          </w:p>
        </w:tc>
        <w:tc>
          <w:tcPr>
            <w:tcW w:w="485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b/>
                <w:bCs/>
                <w:sz w:val="20"/>
                <w:szCs w:val="20"/>
              </w:rPr>
              <w:t>Background Information</w:t>
            </w:r>
          </w:p>
        </w:tc>
      </w:tr>
    </w:tbl>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NanoAntibiotics, Inc. (the “Company”) is a development stage enterprise that was incorporated in the state of Nevada on April 10, 2013.  To date, the Company’s activities have been limited to raising capital, organizational matters, and the structuring of its business plan. On January 1, 2014 we moved our corporate office from Surfside, Florida to Beverly, Massachusetts.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We are an early stage biotechnology company engaged in the discovery, development and commercialization of new classes of broad spectrum antibiotics for gram-negative and gram-positive bacterial infections, including some of the most difficult-to-treat Multi Drug Resistant Bacteria, also called “Superbugs.” Our drug discovery platform currently provides a multi-pronged level understanding of interactions between drug candidates and their bacterial targets and enables us to engineer antibiotics with enhanced characteristics to attack a Drug Resistant Bacteria with a multi-targeted approach. Our pharmaceutical compounds originated at Kard Scientific, Inc. (“Kard”), a preclinical contract research organization founded by our President Rajah Menon in 2002 and of which Mr. Menon is its principal shareholder. These compounds were composed and formulated by researchers at Kard who then conducted in-vitro studies. On October 3, 2013, Kard and Mr. Menon assigned all of their rights, formulations, and all studies and data related to efflux pump antibiotics to the Company. The candidates have only been studied in cell-based assays (in-vitro), but have not been studied in small animals (in-vivo) or animals with drug resistant bacteria for efficacy, efficiency and toxicity. We currently own all development and marketing rights to our products. We plan on contracting research and development of our technologies to third parties. The Company intends to file patent applications for each of these candidates as studies advance and funds become available.</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shd w:val="clear" w:color="auto" w:fill="FFFFFF"/>
        </w:rPr>
        <w:t>According to ASC 845-10-S99, transfers of non-monetary assets to a company by its promoters or shareholders in exchange for stock prior to or at the time of the entity’s initial public offering should be recorded at the transferors' historical cost basis determined under GAAP.  </w:t>
      </w:r>
      <w:r w:rsidRPr="00F90FFE">
        <w:rPr>
          <w:rFonts w:ascii="Times New Roman" w:eastAsia="Times New Roman" w:hAnsi="Times New Roman" w:cs="Times New Roman"/>
          <w:sz w:val="20"/>
          <w:szCs w:val="20"/>
        </w:rPr>
        <w:t>As such the</w:t>
      </w:r>
      <w:r w:rsidRPr="00F90FFE">
        <w:rPr>
          <w:rFonts w:ascii="Times New Roman" w:eastAsia="Times New Roman" w:hAnsi="Times New Roman" w:cs="Times New Roman"/>
          <w:sz w:val="20"/>
          <w:szCs w:val="20"/>
          <w:shd w:val="clear" w:color="auto" w:fill="FFFFFF"/>
        </w:rPr>
        <w:t xml:space="preserve"> cost basis carried on Kard’s books and records was zero.  Therefore, the accounting principles in ASC 845-10-S99 were followed and the Company recorded the rights at its historical cost basis, which was </w:t>
      </w:r>
      <w:r w:rsidRPr="00F90FFE">
        <w:rPr>
          <w:rFonts w:ascii="Times New Roman" w:eastAsia="Times New Roman" w:hAnsi="Times New Roman" w:cs="Times New Roman"/>
          <w:sz w:val="20"/>
          <w:szCs w:val="20"/>
        </w:rPr>
        <w:t>at the historical cost basis of zero. Although the transfer was at $1, this amount was determined by the Company to be de-minimus and immaterial.</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F90FFE" w:rsidRPr="00F90FFE" w:rsidTr="00F90FFE">
        <w:tc>
          <w:tcPr>
            <w:tcW w:w="15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b/>
                <w:bCs/>
                <w:sz w:val="20"/>
                <w:szCs w:val="20"/>
              </w:rPr>
              <w:t>2.</w:t>
            </w:r>
          </w:p>
        </w:tc>
        <w:tc>
          <w:tcPr>
            <w:tcW w:w="485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b/>
                <w:bCs/>
                <w:sz w:val="20"/>
                <w:szCs w:val="20"/>
              </w:rPr>
              <w:t>Going Concern</w:t>
            </w:r>
          </w:p>
        </w:tc>
      </w:tr>
    </w:tbl>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accompanying financial statements have been prepared assuming that the Company will continue as a going concern. For the three months ended September 30, 2014, the Company had a net loss of $58,776.  As of September 30, 2014,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rsidR="00F90FFE" w:rsidRPr="00F90FFE" w:rsidRDefault="00F90FFE" w:rsidP="00F90FFE">
      <w:pPr>
        <w:spacing w:after="0" w:line="240" w:lineRule="auto"/>
        <w:ind w:firstLine="720"/>
        <w:rPr>
          <w:rFonts w:ascii="Arial" w:eastAsia="Times New Roman" w:hAnsi="Arial" w:cs="Arial"/>
          <w:sz w:val="20"/>
          <w:szCs w:val="20"/>
        </w:rPr>
      </w:pPr>
      <w:r w:rsidRPr="00F90FFE">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F90FFE" w:rsidRPr="00F90FFE" w:rsidTr="00F90FFE">
        <w:tc>
          <w:tcPr>
            <w:tcW w:w="15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b/>
                <w:bCs/>
                <w:sz w:val="20"/>
                <w:szCs w:val="20"/>
              </w:rPr>
              <w:t>3.</w:t>
            </w:r>
          </w:p>
        </w:tc>
        <w:tc>
          <w:tcPr>
            <w:tcW w:w="485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b/>
                <w:bCs/>
                <w:sz w:val="20"/>
                <w:szCs w:val="20"/>
              </w:rPr>
              <w:t>Significant Accounting Policies</w:t>
            </w:r>
          </w:p>
        </w:tc>
      </w:tr>
    </w:tbl>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i/>
          <w:iCs/>
          <w:sz w:val="20"/>
          <w:szCs w:val="20"/>
        </w:rPr>
        <w:lastRenderedPageBreak/>
        <w:t>Unaudited Interim Financial Statements</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all of the information and footnotes required by generally accepted accounting principles for complete financial statements.</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-8-</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In the opinion of management, all adjustments consisting of normal recurring entries necessary for a fair statement of the periods presented for: (a) the financial position; (b) the result of operations; and (c) cash flows, have been made in order to make the financial statements presented not misleading.  The results of operations for such interim periods are not necessarily indicative of operations for a full year.</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i/>
          <w:iCs/>
          <w:sz w:val="20"/>
          <w:szCs w:val="20"/>
        </w:rPr>
        <w:t>Basis of Presentation</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i/>
          <w:iCs/>
          <w:sz w:val="20"/>
          <w:szCs w:val="20"/>
        </w:rPr>
        <w:t>Cash</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our non-interest bearing cash balances were fully insured at September 30, 2014, and our interest bearing cash balances may exceed federally insured limits.</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i/>
          <w:iCs/>
          <w:sz w:val="20"/>
          <w:szCs w:val="20"/>
        </w:rPr>
        <w:t>Financial Instruments</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i/>
          <w:iCs/>
          <w:sz w:val="20"/>
          <w:szCs w:val="20"/>
        </w:rPr>
        <w:t>Research and Development</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Research and development costs are charged to operations when incurred and are included in operating expenses. The company expensed $3,400 and $11,420 for research and development for the three months ended September 30, 2014 and 2013, respectively.</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i/>
          <w:iCs/>
          <w:sz w:val="20"/>
          <w:szCs w:val="20"/>
        </w:rPr>
        <w:t>Income Taxes</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Company follows the provisions of FASB ASC 740-10 “</w:t>
      </w:r>
      <w:r w:rsidRPr="00F90FFE">
        <w:rPr>
          <w:rFonts w:ascii="Times New Roman" w:eastAsia="Times New Roman" w:hAnsi="Times New Roman" w:cs="Times New Roman"/>
          <w:i/>
          <w:iCs/>
          <w:sz w:val="20"/>
          <w:szCs w:val="20"/>
        </w:rPr>
        <w:t>Uncertainty in Income Taxes</w:t>
      </w:r>
      <w:r w:rsidRPr="00F90FFE">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September 30, 2014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w:t>
      </w:r>
    </w:p>
    <w:p w:rsidR="00F90FFE" w:rsidRPr="00F90FFE" w:rsidRDefault="00F90FFE" w:rsidP="00F90FFE">
      <w:pPr>
        <w:spacing w:after="0" w:line="240" w:lineRule="auto"/>
        <w:ind w:firstLine="720"/>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i/>
          <w:iCs/>
          <w:sz w:val="20"/>
          <w:szCs w:val="20"/>
        </w:rPr>
        <w:t>Earnings (Loss) per Share</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xml:space="preserve">Basic loss per share is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Common stock equivalents for the three month periods ended September 30, 2014 and 2013 were anti-dilutive due to the net losses sustained by the Company during these periods. For the three months ended September 30, 2014 and 2013 </w:t>
      </w:r>
      <w:r w:rsidRPr="00F90FFE">
        <w:rPr>
          <w:rFonts w:ascii="Times New Roman" w:eastAsia="Times New Roman" w:hAnsi="Times New Roman" w:cs="Times New Roman"/>
          <w:sz w:val="20"/>
          <w:szCs w:val="20"/>
        </w:rPr>
        <w:lastRenderedPageBreak/>
        <w:t>potentially dilutive common stock warrants of 5,000,000 and 5,000,000 have been excluded from dilutive earnings per share due to the Company’s losses in all periods presented.</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i/>
          <w:iCs/>
          <w:sz w:val="20"/>
          <w:szCs w:val="20"/>
        </w:rPr>
        <w:t>Stock-based Compensation</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-9-</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rPr>
          <w:rFonts w:ascii="Calibri" w:eastAsia="Times New Roman" w:hAnsi="Calibri" w:cs="Times New Roman"/>
        </w:rPr>
      </w:pPr>
      <w:r w:rsidRPr="00F90FFE">
        <w:rPr>
          <w:rFonts w:ascii="Calibri" w:eastAsia="Times New Roman" w:hAnsi="Calibri" w:cs="Times New Roman"/>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shd w:val="clear" w:color="auto" w:fill="FFFFFF"/>
        </w:rPr>
        <w:t xml:space="preserve">On February 20, 2014, the Company entered into a two year agreement with a Consultant to serve as a scientific advisor and to participate as a member of the Company’s Scientific Advisory Board.  In exchange for these services, the Company has granted the Consultant 100,000 shares of common stock.  On February 24, 2014, the Company entered into a two year agreement with a consultant to serve as a scientific adviser and to participate as a member of the Company’s Scientific Advisory Board. In exchange for these services, the Company has granted the Consultant 50,000 shares of common stock.  The 150,000 shares of common stock are valued at a total of $15,000 and recorded in a prepaid expense contra equity account.  For the three month periods ended September 30, 2014, $1,890 has been expensed, respectively. </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i/>
          <w:iCs/>
          <w:sz w:val="20"/>
          <w:szCs w:val="20"/>
        </w:rPr>
        <w:t>Fair Value Measurements</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2008 fiscal year and the impact of adoption was not significant. FASB Accounting Standards Codification (ASC) 820 “</w:t>
      </w:r>
      <w:r w:rsidRPr="00F90FFE">
        <w:rPr>
          <w:rFonts w:ascii="Times New Roman" w:eastAsia="Times New Roman" w:hAnsi="Times New Roman" w:cs="Times New Roman"/>
          <w:i/>
          <w:iCs/>
          <w:sz w:val="20"/>
          <w:szCs w:val="20"/>
        </w:rPr>
        <w:t>Fair Value Measurements and Disclosures</w:t>
      </w:r>
      <w:r w:rsidRPr="00F90FFE">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Level 1 - Unadjusted quoted prices in active markets that are accessible at the measurement date for identical, unrestricted assets or liabilities.</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Level 3 - Inputs that are both significant to the fair value measurement and unobservable.</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Fair value estimates discussed herein are based upon certain market assumptions and pertinent information available to management as of September 30, 2014. The respective carrying value of certain on-balance-sheet financial instruments approximated their fair values due to the short-term nature of these instruments. These financial instruments include accounts payable.</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i/>
          <w:iCs/>
          <w:sz w:val="20"/>
          <w:szCs w:val="20"/>
          <w:u w:val="single"/>
        </w:rPr>
        <w:t>Recent accounting pronouncements</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xml:space="preserve">In June 2014, the FASB issued Accounting Standards Update (ASU) No. 2014-10, “Development Stage Entities (Topic 915) Elimination of Certain Financial Reporting Requirements, Including an Amendment to Variable Interest Entities Guidance in Topic 810, Consolidation”. This ASU does the following among other things: a) eliminates the </w:t>
      </w:r>
      <w:r w:rsidRPr="00F90FFE">
        <w:rPr>
          <w:rFonts w:ascii="Times New Roman" w:eastAsia="Times New Roman" w:hAnsi="Times New Roman" w:cs="Times New Roman"/>
          <w:sz w:val="20"/>
          <w:szCs w:val="20"/>
        </w:rPr>
        <w:lastRenderedPageBreak/>
        <w:t>requirement to present inception-to-date information on the statements of income, cash flows, and shareholders’ equity, b) eliminates the need to label the financial statements as those of a development stage entity, c) eliminates the need to disclose a description of the development stage activities in which the entity is engaged, and d) amends FASB ASC 275, Risks and Uncertainties, to clarify that information on risks and uncertainties for entities that have not commenced planned principal operations is required. The amendments in ASU No. 2014-10 related to the elimination of Topic 915 disclosures and the additional disclosure for Topic 275 are effective for public companies for annual and interim reporting periods beginning after December 15, 2014. Early adoption is permitted. The Company has evaluated this ASU and early adopted beginning with the year ended June 30, 2014.</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-10-</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xml:space="preserve">In August 2014, the Financial Accounting Standards Board (“FASB”) issued Accounting Standards Update (“ASU”) No. 2014-15, “Presentation of Financial Statements-Going Concern (Subtopic 205-40): Disclosure of Uncertainties about an Entitys Ability to Continue as a Going Concern” (“ASU 2014-15”). ASU 2014-15 is intended to define </w:t>
      </w:r>
      <w:proofErr w:type="gramStart"/>
      <w:r w:rsidRPr="00F90FFE">
        <w:rPr>
          <w:rFonts w:ascii="Times New Roman" w:eastAsia="Times New Roman" w:hAnsi="Times New Roman" w:cs="Times New Roman"/>
          <w:sz w:val="20"/>
          <w:szCs w:val="20"/>
        </w:rPr>
        <w:t>managements</w:t>
      </w:r>
      <w:proofErr w:type="gramEnd"/>
      <w:r w:rsidRPr="00F90FFE">
        <w:rPr>
          <w:rFonts w:ascii="Times New Roman" w:eastAsia="Times New Roman" w:hAnsi="Times New Roman" w:cs="Times New Roman"/>
          <w:sz w:val="20"/>
          <w:szCs w:val="20"/>
        </w:rPr>
        <w:t xml:space="preserve"> responsibility to evaluate whether there is substantial doubt about an organization’s ability to continue as a going concern and to provide related footnote disclosures. The amendments in this ASU are effective for reporting periods beginning after December 15, 2016, with early adoption permitted. The Company is currently assessing the impact the adoption of ASU 2014-15 will have on its financial statements.</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Other recent accounting pronouncements issued by the FASB (including its EITF), the AICPA, and the SEC did not or are not believed by management to have a material impact on the Company’s financial statements.</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4. Commitments and Contingencies</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Office Lease</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F90FFE" w:rsidRPr="00F90FFE" w:rsidTr="00F90FFE">
        <w:tc>
          <w:tcPr>
            <w:tcW w:w="15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b/>
                <w:bCs/>
                <w:sz w:val="20"/>
                <w:szCs w:val="20"/>
              </w:rPr>
              <w:t>5.</w:t>
            </w:r>
          </w:p>
        </w:tc>
        <w:tc>
          <w:tcPr>
            <w:tcW w:w="485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b/>
                <w:bCs/>
                <w:sz w:val="20"/>
                <w:szCs w:val="20"/>
              </w:rPr>
              <w:t>Income Taxes</w:t>
            </w:r>
          </w:p>
        </w:tc>
      </w:tr>
    </w:tbl>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was no net deferred tax benefit or expense for the period ended September 30, 2014.</w:t>
      </w:r>
    </w:p>
    <w:p w:rsidR="00F90FFE" w:rsidRPr="00F90FFE" w:rsidRDefault="00F90FFE" w:rsidP="00F90FFE">
      <w:pPr>
        <w:spacing w:after="0" w:line="240" w:lineRule="auto"/>
        <w:ind w:firstLine="720"/>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There is no current or deferred income tax expense or benefit allocated to continuing operations for the period ended September 30, 2014.</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5239"/>
        <w:gridCol w:w="747"/>
        <w:gridCol w:w="101"/>
        <w:gridCol w:w="1121"/>
        <w:gridCol w:w="92"/>
        <w:gridCol w:w="747"/>
        <w:gridCol w:w="100"/>
        <w:gridCol w:w="1121"/>
        <w:gridCol w:w="92"/>
      </w:tblGrid>
      <w:tr w:rsidR="00F90FFE" w:rsidRPr="00F90FFE" w:rsidTr="00F90FFE">
        <w:tc>
          <w:tcPr>
            <w:tcW w:w="0" w:type="auto"/>
            <w:vAlign w:val="bottom"/>
            <w:hideMark/>
          </w:tcPr>
          <w:p w:rsidR="00F90FFE" w:rsidRPr="00F90FFE" w:rsidRDefault="00F90FFE" w:rsidP="00F90FFE">
            <w:pPr>
              <w:spacing w:after="0" w:line="240"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September 30, 2014</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F90FFE" w:rsidRPr="00F90FFE" w:rsidRDefault="00F90FFE" w:rsidP="00F90FFE">
            <w:pPr>
              <w:spacing w:after="0" w:line="240" w:lineRule="auto"/>
              <w:jc w:val="center"/>
              <w:rPr>
                <w:rFonts w:ascii="Times New Roman" w:eastAsia="Times New Roman" w:hAnsi="Times New Roman" w:cs="Times New Roman"/>
                <w:b/>
                <w:bCs/>
                <w:sz w:val="20"/>
                <w:szCs w:val="20"/>
              </w:rPr>
            </w:pPr>
            <w:r w:rsidRPr="00F90FFE">
              <w:rPr>
                <w:rFonts w:ascii="Times New Roman" w:eastAsia="Times New Roman" w:hAnsi="Times New Roman" w:cs="Times New Roman"/>
                <w:b/>
                <w:bCs/>
                <w:sz w:val="20"/>
                <w:szCs w:val="20"/>
              </w:rPr>
              <w:t>June 30, 2014</w:t>
            </w:r>
          </w:p>
        </w:tc>
      </w:tr>
      <w:tr w:rsidR="00F90FFE" w:rsidRPr="00F90FFE" w:rsidTr="00F90FFE">
        <w:tc>
          <w:tcPr>
            <w:tcW w:w="28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Tax expense (benefit) at U.S. statutory rate</w:t>
            </w:r>
          </w:p>
        </w:tc>
        <w:tc>
          <w:tcPr>
            <w:tcW w:w="4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6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(20,000</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4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6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(109,400</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State income tax expense (benefit), net of federal benefit</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(2,900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(16,100</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Effect of non-deductible expenses</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Other</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Change in valuation allowance</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22,900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125,500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bl>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tax effects of temporary differences that give rise to significant portions of the deferred tax assets and deferred tax liabilities at September 30, 2014 are as follows: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F90FFE" w:rsidRPr="00F90FFE" w:rsidTr="00F90FFE">
        <w:tc>
          <w:tcPr>
            <w:tcW w:w="0" w:type="auto"/>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lastRenderedPageBreak/>
              <w:t>Deferred tax assets (liability), noncurrent:</w:t>
            </w:r>
          </w:p>
        </w:tc>
        <w:tc>
          <w:tcPr>
            <w:tcW w:w="0" w:type="auto"/>
            <w:vAlign w:val="bottom"/>
            <w:hideMark/>
          </w:tcPr>
          <w:p w:rsidR="00F90FFE" w:rsidRPr="00F90FFE" w:rsidRDefault="00F90FFE" w:rsidP="00F90FFE">
            <w:pPr>
              <w:spacing w:after="0" w:line="240"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40"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40" w:lineRule="auto"/>
              <w:jc w:val="right"/>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40"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r>
      <w:tr w:rsidR="00F90FFE" w:rsidRPr="00F90FFE" w:rsidTr="00F90FFE">
        <w:tc>
          <w:tcPr>
            <w:tcW w:w="35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Net operating loss</w:t>
            </w:r>
          </w:p>
        </w:tc>
        <w:tc>
          <w:tcPr>
            <w:tcW w:w="5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9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155,300</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Valuation allowance</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(155,300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bl>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Change in valuation allowance:</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F90FFE" w:rsidRPr="00F90FFE" w:rsidTr="00F90FFE">
        <w:tc>
          <w:tcPr>
            <w:tcW w:w="35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Balance, June 30, 2014</w:t>
            </w:r>
          </w:p>
        </w:tc>
        <w:tc>
          <w:tcPr>
            <w:tcW w:w="50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t>
            </w:r>
          </w:p>
        </w:tc>
        <w:tc>
          <w:tcPr>
            <w:tcW w:w="900" w:type="pct"/>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132,400</w:t>
            </w:r>
          </w:p>
        </w:tc>
        <w:tc>
          <w:tcPr>
            <w:tcW w:w="50" w:type="pct"/>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Increase in valuation allowance</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22,900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r w:rsidR="00F90FFE" w:rsidRPr="00F90FFE" w:rsidTr="00F90FFE">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Balance, September 30, 2014</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F90FFE" w:rsidRPr="00F90FFE" w:rsidRDefault="00F90FFE" w:rsidP="00F90FFE">
            <w:pPr>
              <w:spacing w:after="0" w:line="240" w:lineRule="auto"/>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155,300</w:t>
            </w:r>
          </w:p>
        </w:tc>
        <w:tc>
          <w:tcPr>
            <w:tcW w:w="0" w:type="auto"/>
            <w:tcMar>
              <w:top w:w="0" w:type="dxa"/>
              <w:left w:w="0" w:type="dxa"/>
              <w:bottom w:w="20" w:type="dxa"/>
              <w:right w:w="0" w:type="dxa"/>
            </w:tcMar>
            <w:vAlign w:val="bottom"/>
            <w:hideMark/>
          </w:tcPr>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c>
      </w:tr>
    </w:tbl>
    <w:p w:rsidR="00F90FFE" w:rsidRPr="00F90FFE" w:rsidRDefault="00F90FFE" w:rsidP="00F90FFE">
      <w:pPr>
        <w:spacing w:after="12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-11-</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rPr>
          <w:rFonts w:ascii="Calibri" w:eastAsia="Times New Roman" w:hAnsi="Calibri" w:cs="Times New Roman"/>
        </w:rPr>
      </w:pPr>
      <w:r w:rsidRPr="00F90FFE">
        <w:rPr>
          <w:rFonts w:ascii="Calibri" w:eastAsia="Times New Roman" w:hAnsi="Calibri" w:cs="Times New Roman"/>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September 30, 2014.</w:t>
      </w:r>
    </w:p>
    <w:p w:rsidR="00F90FFE" w:rsidRPr="00F90FFE" w:rsidRDefault="00F90FFE" w:rsidP="00F90FFE">
      <w:pPr>
        <w:spacing w:after="0" w:line="240"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As of September 30, 2014, the Company had federal and state net operating loss carry-forwards totaling approximately $398,200 which begin expiring in 2023.</w:t>
      </w:r>
    </w:p>
    <w:p w:rsidR="00F90FFE" w:rsidRPr="00F90FFE" w:rsidRDefault="00F90FFE" w:rsidP="00F90FFE">
      <w:pPr>
        <w:spacing w:after="0" w:line="240" w:lineRule="auto"/>
        <w:ind w:firstLine="720"/>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200" w:line="276"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6. Warrants</w:t>
      </w:r>
    </w:p>
    <w:p w:rsidR="00F90FFE" w:rsidRPr="00F90FFE" w:rsidRDefault="00F90FFE" w:rsidP="00F90FFE">
      <w:pPr>
        <w:spacing w:after="200" w:line="276"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xml:space="preserve">The Company offered and sold 5,000,000 Series </w:t>
      </w:r>
      <w:proofErr w:type="gramStart"/>
      <w:r w:rsidRPr="00F90FFE">
        <w:rPr>
          <w:rFonts w:ascii="Times New Roman" w:eastAsia="Times New Roman" w:hAnsi="Times New Roman" w:cs="Times New Roman"/>
          <w:sz w:val="20"/>
          <w:szCs w:val="20"/>
        </w:rPr>
        <w:t>A</w:t>
      </w:r>
      <w:proofErr w:type="gramEnd"/>
      <w:r w:rsidRPr="00F90FFE">
        <w:rPr>
          <w:rFonts w:ascii="Times New Roman" w:eastAsia="Times New Roman" w:hAnsi="Times New Roman" w:cs="Times New Roman"/>
          <w:sz w:val="20"/>
          <w:szCs w:val="20"/>
        </w:rPr>
        <w:t xml:space="preserve"> Units between June 20, 2013 and June 25, 2013. Each Unit consists of one share of Common Stock and one Series </w:t>
      </w:r>
      <w:proofErr w:type="gramStart"/>
      <w:r w:rsidRPr="00F90FFE">
        <w:rPr>
          <w:rFonts w:ascii="Times New Roman" w:eastAsia="Times New Roman" w:hAnsi="Times New Roman" w:cs="Times New Roman"/>
          <w:sz w:val="20"/>
          <w:szCs w:val="20"/>
        </w:rPr>
        <w:t>A</w:t>
      </w:r>
      <w:proofErr w:type="gramEnd"/>
      <w:r w:rsidRPr="00F90FFE">
        <w:rPr>
          <w:rFonts w:ascii="Times New Roman" w:eastAsia="Times New Roman" w:hAnsi="Times New Roman" w:cs="Times New Roman"/>
          <w:sz w:val="20"/>
          <w:szCs w:val="20"/>
        </w:rPr>
        <w:t xml:space="preserve"> Warrant exercisable at $0.50 for a period of 5 years. At September 30, 2014, 5,000,000 warrants remain unexercised.</w:t>
      </w:r>
      <w:r w:rsidRPr="00F90FFE">
        <w:rPr>
          <w:rFonts w:ascii="Times New Roman" w:eastAsia="Times New Roman" w:hAnsi="Times New Roman" w:cs="Times New Roman"/>
          <w:b/>
          <w:bCs/>
          <w:sz w:val="20"/>
          <w:szCs w:val="20"/>
        </w:rPr>
        <w:t xml:space="preserve"> </w:t>
      </w:r>
      <w:r w:rsidRPr="00F90FFE">
        <w:rPr>
          <w:rFonts w:ascii="Times New Roman" w:eastAsia="Times New Roman" w:hAnsi="Times New Roman" w:cs="Times New Roman"/>
          <w:sz w:val="20"/>
          <w:szCs w:val="20"/>
        </w:rPr>
        <w:br w:type="textWrapping" w:clear="all"/>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-12-</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rPr>
          <w:rFonts w:ascii="Times New Roman" w:eastAsia="Times New Roman" w:hAnsi="Times New Roman" w:cs="Times New Roman"/>
          <w:sz w:val="20"/>
          <w:szCs w:val="20"/>
        </w:rPr>
      </w:pPr>
      <w:bookmarkStart w:id="7" w:name="a_003"/>
      <w:bookmarkEnd w:id="7"/>
      <w:r w:rsidRPr="00F90FFE">
        <w:rPr>
          <w:rFonts w:ascii="Times New Roman" w:eastAsia="Times New Roman" w:hAnsi="Times New Roman" w:cs="Times New Roman"/>
          <w:b/>
          <w:bCs/>
          <w:sz w:val="20"/>
          <w:szCs w:val="20"/>
        </w:rPr>
        <w:t>Item 2. Management’s Discussion and Analysis of Financial Condition and Results of Operations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We were incorporated under the laws of the State of Nevada on April 10, 2013. We are an early developmental stage biotechnology company focused on the discovery, development and commercialization of nano-medicines. We have no products for sale and will not generate or realize any revenues until such time that our pharmaceutical candidates receive approval from the FDA or equivalent foreign regulatory bodies. . Developing pharmaceutical products, however, is a lengthy and very expensive process with no assurance of regulatory or commercial success.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xml:space="preserve">The Company since inception has focused on developing a nano efflux pump inhibitor and a nanoantibiotic. The company was engaged through its vendors in purifying compounds, laboratory testing, and optimization. The Company is now seeking from outside sources technology needed to further advance this project and is engaged in </w:t>
      </w:r>
      <w:r w:rsidRPr="00F90FFE">
        <w:rPr>
          <w:rFonts w:ascii="Times New Roman" w:eastAsia="Times New Roman" w:hAnsi="Times New Roman" w:cs="Times New Roman"/>
          <w:sz w:val="20"/>
          <w:szCs w:val="20"/>
        </w:rPr>
        <w:lastRenderedPageBreak/>
        <w:t>discussions with universities for licensing nanotechnology. The Company believes this path is in the best interest of its shareholders and is the most efficient and least expensive means of furthering our projects.</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As the Company pursues licensing additional nanotechnology, the Company has cut development costs of its Nano Efflux Pump Inhibitors during the next 12 months to approximately $50,000 and development and testing costs of its nanoantibiotic compound to approximately $25,000. We estimate licensing costs to approximate $75,000. Of the technologies we are presently reviewing, and if we were to license the technology, the expected development costs for next the 12 months would be approximately $500,000. As of September 30, 2014, the Company’s available funds are not sufficient to fund its activities for the next 12 months. </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We have incurred $58,890 of operating expenses for the three months ended September 30, 2014.  Prior to inception, the Company’s compounds were composed and formulated by researchers at Kard, a preclinical contract research organization founded by our President Rajah Menon in 2002 and of which Mr. Menon is its principal shareholder, who then conducted in-vitro studies. On October 3, 2013, Kard and Mr. Menon assigned all of their rights, formulations, and all studies and data related to efflux pump antibiotics to the Company.  We are now engaged in organizational activities and sourcing technology to license. We anticipate incurring other costs associated with equipment purchases and general and administrative expenses, including employee salaries and benefits, legal expenses, and other costs associated with an early stage, publicly-traded company.</w:t>
      </w:r>
    </w:p>
    <w:p w:rsidR="00F90FFE" w:rsidRPr="00F90FFE" w:rsidRDefault="00F90FFE" w:rsidP="00F90FFE">
      <w:pPr>
        <w:spacing w:after="0" w:line="240" w:lineRule="auto"/>
        <w:ind w:firstLine="720"/>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We will have significant discretion in the use of any net proceeds. Investors will be relying on the judgment of our management regarding the application of the proceeds of any sale of our Common Stock.</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-13-</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Requirement for Additional Capital</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the following expenses over the next twelve (12) months: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
        <w:gridCol w:w="8986"/>
      </w:tblGrid>
      <w:tr w:rsidR="00F90FFE" w:rsidRPr="00F90FFE" w:rsidTr="00F90FFE">
        <w:tc>
          <w:tcPr>
            <w:tcW w:w="200" w:type="pct"/>
            <w:hideMark/>
          </w:tcPr>
          <w:p w:rsidR="00F90FFE" w:rsidRPr="00F90FFE" w:rsidRDefault="00F90FFE" w:rsidP="00F90FFE">
            <w:pPr>
              <w:spacing w:after="0" w:line="276"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w:t>
            </w:r>
          </w:p>
        </w:tc>
        <w:tc>
          <w:tcPr>
            <w:tcW w:w="48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Research and Development of $575,000, which includes planned costs for its nano efflux pump inhibitor of $75,000 and an additional $500,000  if we were to license technology we are presently reviewing;</w:t>
            </w:r>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
        <w:gridCol w:w="8986"/>
      </w:tblGrid>
      <w:tr w:rsidR="00F90FFE" w:rsidRPr="00F90FFE" w:rsidTr="00F90FFE">
        <w:tc>
          <w:tcPr>
            <w:tcW w:w="200" w:type="pct"/>
            <w:hideMark/>
          </w:tcPr>
          <w:p w:rsidR="00F90FFE" w:rsidRPr="00F90FFE" w:rsidRDefault="00F90FFE" w:rsidP="00F90FFE">
            <w:pPr>
              <w:spacing w:after="0" w:line="276"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w:t>
            </w:r>
          </w:p>
        </w:tc>
        <w:tc>
          <w:tcPr>
            <w:tcW w:w="48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Corporate overhead of $100,000, which includes budgeted legal, accounting and other costs expected to be incurred;</w:t>
            </w:r>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
        <w:gridCol w:w="8986"/>
      </w:tblGrid>
      <w:tr w:rsidR="00F90FFE" w:rsidRPr="00F90FFE" w:rsidTr="00F90FFE">
        <w:tc>
          <w:tcPr>
            <w:tcW w:w="200" w:type="pct"/>
            <w:hideMark/>
          </w:tcPr>
          <w:p w:rsidR="00F90FFE" w:rsidRPr="00F90FFE" w:rsidRDefault="00F90FFE" w:rsidP="00F90FFE">
            <w:pPr>
              <w:spacing w:after="0" w:line="276"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w:t>
            </w:r>
          </w:p>
        </w:tc>
        <w:tc>
          <w:tcPr>
            <w:tcW w:w="48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Licensing and Capital costs of $100,000, which $75,000  is budgeted for acquiring a nanotechnology license, and $25,000 is the estimated cost for equipment to be deployed at vendor sites to be selected; and</w:t>
            </w:r>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
        <w:gridCol w:w="8986"/>
      </w:tblGrid>
      <w:tr w:rsidR="00F90FFE" w:rsidRPr="00F90FFE" w:rsidTr="00F90FFE">
        <w:tc>
          <w:tcPr>
            <w:tcW w:w="200" w:type="pct"/>
            <w:hideMark/>
          </w:tcPr>
          <w:p w:rsidR="00F90FFE" w:rsidRPr="00F90FFE" w:rsidRDefault="00F90FFE" w:rsidP="00F90FFE">
            <w:pPr>
              <w:spacing w:after="0" w:line="276"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w:t>
            </w:r>
          </w:p>
        </w:tc>
        <w:tc>
          <w:tcPr>
            <w:tcW w:w="48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Officer and Staffing costs of $180,000.</w:t>
            </w:r>
          </w:p>
        </w:tc>
      </w:tr>
    </w:tbl>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Company had approximately $318,100 of cash on hand at September 30, 2014 and will be unable to proceed with its planned drug development, meet its administrative expense requirements, capital costs, or staffing costs without obtaining additional net financing of approximately $600,000 to meet its budget.</w:t>
      </w:r>
    </w:p>
    <w:p w:rsidR="00F90FFE" w:rsidRPr="00F90FFE" w:rsidRDefault="00F90FFE" w:rsidP="00F90FFE">
      <w:pPr>
        <w:spacing w:after="0" w:line="240" w:lineRule="auto"/>
        <w:ind w:firstLine="720"/>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lastRenderedPageBreak/>
        <w:t>The Company has limited experience with pharmaceutical drug development. As such these budget estimates may not be accurate. In addition, the actual work to be performed is not known at this time, other than a broad outline,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w:t>
      </w:r>
    </w:p>
    <w:p w:rsidR="00F90FFE" w:rsidRPr="00F90FFE" w:rsidRDefault="00F90FFE" w:rsidP="00F90FFE">
      <w:pPr>
        <w:spacing w:after="0" w:line="240" w:lineRule="auto"/>
        <w:ind w:firstLine="720"/>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Capital Resources and Liquidity</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As of September 30, 2014, we had $318,147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2014, contains an explanatory paragraph regarding a substantial doubt about our ability to continue as a going concern.</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our planned antibiotics and implement our business plan. In that event, investors should anticipate that their entire investment may be lost and there may be no ability to profit from this investment.</w:t>
      </w:r>
    </w:p>
    <w:p w:rsidR="00F90FFE" w:rsidRPr="00F90FFE" w:rsidRDefault="00F90FFE" w:rsidP="00F90FFE">
      <w:pPr>
        <w:spacing w:after="0" w:line="240" w:lineRule="auto"/>
        <w:ind w:firstLine="720"/>
        <w:jc w:val="right"/>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We cannot assure you that our compounds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-14-</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If we are unable to raise additional funds, we will need to do one or more of the following:</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
        <w:gridCol w:w="8986"/>
      </w:tblGrid>
      <w:tr w:rsidR="00F90FFE" w:rsidRPr="00F90FFE" w:rsidTr="00F90FFE">
        <w:tc>
          <w:tcPr>
            <w:tcW w:w="200" w:type="pct"/>
            <w:hideMark/>
          </w:tcPr>
          <w:p w:rsidR="00F90FFE" w:rsidRPr="00F90FFE" w:rsidRDefault="00F90FFE" w:rsidP="00F90FFE">
            <w:pPr>
              <w:spacing w:after="0" w:line="276"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w:t>
            </w:r>
          </w:p>
        </w:tc>
        <w:tc>
          <w:tcPr>
            <w:tcW w:w="48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delay, scale-back or eliminate some or all of our research and product development programs;</w:t>
            </w:r>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
        <w:gridCol w:w="8986"/>
      </w:tblGrid>
      <w:tr w:rsidR="00F90FFE" w:rsidRPr="00F90FFE" w:rsidTr="00F90FFE">
        <w:tc>
          <w:tcPr>
            <w:tcW w:w="200" w:type="pct"/>
            <w:hideMark/>
          </w:tcPr>
          <w:p w:rsidR="00F90FFE" w:rsidRPr="00F90FFE" w:rsidRDefault="00F90FFE" w:rsidP="00F90FFE">
            <w:pPr>
              <w:spacing w:after="0" w:line="276"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w:t>
            </w:r>
          </w:p>
        </w:tc>
        <w:tc>
          <w:tcPr>
            <w:tcW w:w="48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
        <w:gridCol w:w="8986"/>
      </w:tblGrid>
      <w:tr w:rsidR="00F90FFE" w:rsidRPr="00F90FFE" w:rsidTr="00F90FFE">
        <w:tc>
          <w:tcPr>
            <w:tcW w:w="200" w:type="pct"/>
            <w:hideMark/>
          </w:tcPr>
          <w:p w:rsidR="00F90FFE" w:rsidRPr="00F90FFE" w:rsidRDefault="00F90FFE" w:rsidP="00F90FFE">
            <w:pPr>
              <w:spacing w:after="0" w:line="276"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w:t>
            </w:r>
          </w:p>
        </w:tc>
        <w:tc>
          <w:tcPr>
            <w:tcW w:w="48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seek strategic alliances or business combinations;</w:t>
            </w:r>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
        <w:gridCol w:w="8986"/>
      </w:tblGrid>
      <w:tr w:rsidR="00F90FFE" w:rsidRPr="00F90FFE" w:rsidTr="00F90FFE">
        <w:tc>
          <w:tcPr>
            <w:tcW w:w="200" w:type="pct"/>
            <w:hideMark/>
          </w:tcPr>
          <w:p w:rsidR="00F90FFE" w:rsidRPr="00F90FFE" w:rsidRDefault="00F90FFE" w:rsidP="00F90FFE">
            <w:pPr>
              <w:spacing w:after="0" w:line="276"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w:t>
            </w:r>
          </w:p>
        </w:tc>
        <w:tc>
          <w:tcPr>
            <w:tcW w:w="48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attempt to sell our company;</w:t>
            </w:r>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
        <w:gridCol w:w="8986"/>
      </w:tblGrid>
      <w:tr w:rsidR="00F90FFE" w:rsidRPr="00F90FFE" w:rsidTr="00F90FFE">
        <w:tc>
          <w:tcPr>
            <w:tcW w:w="200" w:type="pct"/>
            <w:hideMark/>
          </w:tcPr>
          <w:p w:rsidR="00F90FFE" w:rsidRPr="00F90FFE" w:rsidRDefault="00F90FFE" w:rsidP="00F90FFE">
            <w:pPr>
              <w:spacing w:after="0" w:line="276"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w:t>
            </w:r>
          </w:p>
        </w:tc>
        <w:tc>
          <w:tcPr>
            <w:tcW w:w="48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cease operations; or</w:t>
            </w:r>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
        <w:gridCol w:w="8986"/>
      </w:tblGrid>
      <w:tr w:rsidR="00F90FFE" w:rsidRPr="00F90FFE" w:rsidTr="00F90FFE">
        <w:tc>
          <w:tcPr>
            <w:tcW w:w="200" w:type="pct"/>
            <w:hideMark/>
          </w:tcPr>
          <w:p w:rsidR="00F90FFE" w:rsidRPr="00F90FFE" w:rsidRDefault="00F90FFE" w:rsidP="00F90FFE">
            <w:pPr>
              <w:spacing w:after="0" w:line="276" w:lineRule="auto"/>
              <w:jc w:val="center"/>
              <w:rPr>
                <w:rFonts w:ascii="Calibri" w:eastAsia="Times New Roman" w:hAnsi="Calibri" w:cs="Times New Roman"/>
                <w:sz w:val="20"/>
                <w:szCs w:val="20"/>
              </w:rPr>
            </w:pPr>
            <w:r w:rsidRPr="00F90FFE">
              <w:rPr>
                <w:rFonts w:ascii="Times New Roman" w:eastAsia="Times New Roman" w:hAnsi="Times New Roman" w:cs="Times New Roman"/>
                <w:sz w:val="20"/>
                <w:szCs w:val="20"/>
              </w:rPr>
              <w:t>●</w:t>
            </w:r>
          </w:p>
        </w:tc>
        <w:tc>
          <w:tcPr>
            <w:tcW w:w="4800" w:type="pct"/>
            <w:hideMark/>
          </w:tcPr>
          <w:p w:rsidR="00F90FFE" w:rsidRPr="00F90FFE" w:rsidRDefault="00F90FFE" w:rsidP="00F90FFE">
            <w:pPr>
              <w:spacing w:after="0" w:line="276" w:lineRule="auto"/>
              <w:rPr>
                <w:rFonts w:ascii="Calibri" w:eastAsia="Times New Roman" w:hAnsi="Calibri" w:cs="Times New Roman"/>
                <w:sz w:val="20"/>
                <w:szCs w:val="20"/>
              </w:rPr>
            </w:pPr>
            <w:proofErr w:type="gramStart"/>
            <w:r w:rsidRPr="00F90FFE">
              <w:rPr>
                <w:rFonts w:ascii="Times New Roman" w:eastAsia="Times New Roman" w:hAnsi="Times New Roman" w:cs="Times New Roman"/>
                <w:sz w:val="20"/>
                <w:szCs w:val="20"/>
              </w:rPr>
              <w:t>declare</w:t>
            </w:r>
            <w:proofErr w:type="gramEnd"/>
            <w:r w:rsidRPr="00F90FFE">
              <w:rPr>
                <w:rFonts w:ascii="Times New Roman" w:eastAsia="Times New Roman" w:hAnsi="Times New Roman" w:cs="Times New Roman"/>
                <w:sz w:val="20"/>
                <w:szCs w:val="20"/>
              </w:rPr>
              <w:t xml:space="preserve"> bankruptcy.</w:t>
            </w:r>
          </w:p>
        </w:tc>
      </w:tr>
    </w:tbl>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xml:space="preserve">We believe that our existing cash, cash equivalents will be sufficient to meet our operating and capital requirements until June 30, 2015.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w:t>
      </w:r>
      <w:r w:rsidRPr="00F90FFE">
        <w:rPr>
          <w:rFonts w:ascii="Times New Roman" w:eastAsia="Times New Roman" w:hAnsi="Times New Roman" w:cs="Times New Roman"/>
          <w:sz w:val="20"/>
          <w:szCs w:val="20"/>
        </w:rPr>
        <w:lastRenderedPageBreak/>
        <w:t>additional debt or equity financing in a timely manner, or at all, which could require us to scale back our business plan and operations.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Warrants</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xml:space="preserve">The Company offered and sold 5,000,000 Series </w:t>
      </w:r>
      <w:proofErr w:type="gramStart"/>
      <w:r w:rsidRPr="00F90FFE">
        <w:rPr>
          <w:rFonts w:ascii="Times New Roman" w:eastAsia="Times New Roman" w:hAnsi="Times New Roman" w:cs="Times New Roman"/>
          <w:sz w:val="20"/>
          <w:szCs w:val="20"/>
        </w:rPr>
        <w:t>A</w:t>
      </w:r>
      <w:proofErr w:type="gramEnd"/>
      <w:r w:rsidRPr="00F90FFE">
        <w:rPr>
          <w:rFonts w:ascii="Times New Roman" w:eastAsia="Times New Roman" w:hAnsi="Times New Roman" w:cs="Times New Roman"/>
          <w:sz w:val="20"/>
          <w:szCs w:val="20"/>
        </w:rPr>
        <w:t xml:space="preserve"> Units between June 20, 2013 and June 25, 2013. Each Unit consisted of one share of Common Stock and one Series </w:t>
      </w:r>
      <w:proofErr w:type="gramStart"/>
      <w:r w:rsidRPr="00F90FFE">
        <w:rPr>
          <w:rFonts w:ascii="Times New Roman" w:eastAsia="Times New Roman" w:hAnsi="Times New Roman" w:cs="Times New Roman"/>
          <w:sz w:val="20"/>
          <w:szCs w:val="20"/>
        </w:rPr>
        <w:t>A</w:t>
      </w:r>
      <w:proofErr w:type="gramEnd"/>
      <w:r w:rsidRPr="00F90FFE">
        <w:rPr>
          <w:rFonts w:ascii="Times New Roman" w:eastAsia="Times New Roman" w:hAnsi="Times New Roman" w:cs="Times New Roman"/>
          <w:sz w:val="20"/>
          <w:szCs w:val="20"/>
        </w:rPr>
        <w:t xml:space="preserve"> Warrant exercisable at $0.50 for a period of 5 years. At September 30, 2014, 5,000,000 warrants remain unexercised. The exercise of warrants by their owners is a potential source of equity funding for the Company.</w:t>
      </w:r>
    </w:p>
    <w:p w:rsidR="00F90FFE" w:rsidRPr="00F90FFE" w:rsidRDefault="00F90FFE" w:rsidP="00F90FFE">
      <w:pPr>
        <w:spacing w:after="0" w:line="240" w:lineRule="auto"/>
        <w:ind w:firstLine="720"/>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Emerging Growth Company</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-15-</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Off-Balance Sheet Arrangements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bookmarkStart w:id="8" w:name="a_004"/>
      <w:bookmarkEnd w:id="8"/>
      <w:r w:rsidRPr="00F90FFE">
        <w:rPr>
          <w:rFonts w:ascii="Times New Roman" w:eastAsia="Times New Roman" w:hAnsi="Times New Roman" w:cs="Times New Roman"/>
          <w:b/>
          <w:bCs/>
          <w:sz w:val="20"/>
          <w:szCs w:val="20"/>
        </w:rPr>
        <w:t xml:space="preserve">Item 3.  Quantitative and Qualitative Disclosures </w:t>
      </w:r>
      <w:proofErr w:type="gramStart"/>
      <w:r w:rsidRPr="00F90FFE">
        <w:rPr>
          <w:rFonts w:ascii="Times New Roman" w:eastAsia="Times New Roman" w:hAnsi="Times New Roman" w:cs="Times New Roman"/>
          <w:b/>
          <w:bCs/>
          <w:sz w:val="20"/>
          <w:szCs w:val="20"/>
        </w:rPr>
        <w:t>About</w:t>
      </w:r>
      <w:proofErr w:type="gramEnd"/>
      <w:r w:rsidRPr="00F90FFE">
        <w:rPr>
          <w:rFonts w:ascii="Times New Roman" w:eastAsia="Times New Roman" w:hAnsi="Times New Roman" w:cs="Times New Roman"/>
          <w:b/>
          <w:bCs/>
          <w:sz w:val="20"/>
          <w:szCs w:val="20"/>
        </w:rPr>
        <w:t xml:space="preserve"> Market Risk</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Not applicable</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bookmarkStart w:id="9" w:name="a_005"/>
      <w:bookmarkEnd w:id="9"/>
      <w:r w:rsidRPr="00F90FFE">
        <w:rPr>
          <w:rFonts w:ascii="Times New Roman" w:eastAsia="Times New Roman" w:hAnsi="Times New Roman" w:cs="Times New Roman"/>
          <w:b/>
          <w:bCs/>
          <w:sz w:val="20"/>
          <w:szCs w:val="20"/>
        </w:rPr>
        <w:t>Item 4.  Controls and Procedures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lastRenderedPageBreak/>
        <w:t>The Company’s Chief Executive Officer and Chief Financial Officer have evaluated the effectiveness of the Company’s disclosure controls and procedures (as defined in Rules 13a-15(e) and 15d-15(e) under the Exchange Act) as of September 30, 2014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Exchange Act. This conclusion by the Company’s Chief Executive Officer and Chief Financial Officer does not relate to reporting periods after September 30, 2014.</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Changes in Internal Control over Financial Reporting</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No change in the Company’s internal control over financial reporting occurred during the quarter ended  September 30,  2014, that materially affected, or is reasonably likely to materially affect, the Company’s internal control over financial reporting.</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-16-</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200" w:line="276"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PART II. OTHER INFORMATION</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bookmarkStart w:id="10" w:name="a_006"/>
      <w:bookmarkEnd w:id="10"/>
      <w:r w:rsidRPr="00F90FFE">
        <w:rPr>
          <w:rFonts w:ascii="Times New Roman" w:eastAsia="Times New Roman" w:hAnsi="Times New Roman" w:cs="Times New Roman"/>
          <w:b/>
          <w:bCs/>
          <w:sz w:val="20"/>
          <w:szCs w:val="20"/>
        </w:rPr>
        <w:t>Item 1. Legal Proceedings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jc w:val="both"/>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bookmarkStart w:id="11" w:name="a_007"/>
      <w:bookmarkEnd w:id="11"/>
      <w:r w:rsidRPr="00F90FFE">
        <w:rPr>
          <w:rFonts w:ascii="Times New Roman" w:eastAsia="Times New Roman" w:hAnsi="Times New Roman" w:cs="Times New Roman"/>
          <w:b/>
          <w:bCs/>
          <w:sz w:val="20"/>
          <w:szCs w:val="20"/>
        </w:rPr>
        <w:t>Item 2. Unregistered sales of equity securities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None</w:t>
      </w:r>
    </w:p>
    <w:p w:rsidR="00F90FFE" w:rsidRPr="00F90FFE" w:rsidRDefault="00F90FFE" w:rsidP="00F90FFE">
      <w:pPr>
        <w:spacing w:after="0" w:line="240" w:lineRule="auto"/>
        <w:ind w:firstLine="720"/>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bookmarkStart w:id="12" w:name="a_008"/>
      <w:bookmarkEnd w:id="12"/>
      <w:r w:rsidRPr="00F90FFE">
        <w:rPr>
          <w:rFonts w:ascii="Times New Roman" w:eastAsia="Times New Roman" w:hAnsi="Times New Roman" w:cs="Times New Roman"/>
          <w:b/>
          <w:bCs/>
          <w:sz w:val="20"/>
          <w:szCs w:val="20"/>
        </w:rPr>
        <w:t xml:space="preserve">Item 3. Defaults </w:t>
      </w:r>
      <w:proofErr w:type="gramStart"/>
      <w:r w:rsidRPr="00F90FFE">
        <w:rPr>
          <w:rFonts w:ascii="Times New Roman" w:eastAsia="Times New Roman" w:hAnsi="Times New Roman" w:cs="Times New Roman"/>
          <w:b/>
          <w:bCs/>
          <w:sz w:val="20"/>
          <w:szCs w:val="20"/>
        </w:rPr>
        <w:t>Upon</w:t>
      </w:r>
      <w:proofErr w:type="gramEnd"/>
      <w:r w:rsidRPr="00F90FFE">
        <w:rPr>
          <w:rFonts w:ascii="Times New Roman" w:eastAsia="Times New Roman" w:hAnsi="Times New Roman" w:cs="Times New Roman"/>
          <w:b/>
          <w:bCs/>
          <w:sz w:val="20"/>
          <w:szCs w:val="20"/>
        </w:rPr>
        <w:t xml:space="preserve"> Senior Securities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None</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bookmarkStart w:id="13" w:name="a_009"/>
      <w:bookmarkEnd w:id="13"/>
      <w:r w:rsidRPr="00F90FFE">
        <w:rPr>
          <w:rFonts w:ascii="Times New Roman" w:eastAsia="Times New Roman" w:hAnsi="Times New Roman" w:cs="Times New Roman"/>
          <w:b/>
          <w:bCs/>
          <w:sz w:val="20"/>
          <w:szCs w:val="20"/>
        </w:rPr>
        <w:t>Item 4.  Mine Safety Disclosures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None</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bookmarkStart w:id="14" w:name="a_010"/>
      <w:bookmarkEnd w:id="14"/>
      <w:r w:rsidRPr="00F90FFE">
        <w:rPr>
          <w:rFonts w:ascii="Times New Roman" w:eastAsia="Times New Roman" w:hAnsi="Times New Roman" w:cs="Times New Roman"/>
          <w:b/>
          <w:bCs/>
          <w:sz w:val="20"/>
          <w:szCs w:val="20"/>
        </w:rPr>
        <w:t>Item 5.  Other Information</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None</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bookmarkStart w:id="15" w:name="a_011"/>
      <w:bookmarkEnd w:id="15"/>
      <w:r w:rsidRPr="00F90FFE">
        <w:rPr>
          <w:rFonts w:ascii="Times New Roman" w:eastAsia="Times New Roman" w:hAnsi="Times New Roman" w:cs="Times New Roman"/>
          <w:b/>
          <w:bCs/>
          <w:sz w:val="20"/>
          <w:szCs w:val="20"/>
        </w:rPr>
        <w:t>Item 6. Exhibits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(a)</w:t>
      </w:r>
      <w:r w:rsidRPr="00F90FFE">
        <w:rPr>
          <w:rFonts w:ascii="Times New Roman" w:eastAsia="Times New Roman" w:hAnsi="Times New Roman" w:cs="Times New Roman"/>
          <w:b/>
          <w:bCs/>
          <w:sz w:val="20"/>
          <w:szCs w:val="20"/>
        </w:rPr>
        <w:t> </w:t>
      </w:r>
      <w:r w:rsidRPr="00F90FFE">
        <w:rPr>
          <w:rFonts w:ascii="Times New Roman" w:eastAsia="Times New Roman" w:hAnsi="Times New Roman" w:cs="Times New Roman"/>
          <w:sz w:val="20"/>
          <w:szCs w:val="20"/>
        </w:rPr>
        <w:t>Exhibit index</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50"/>
        <w:gridCol w:w="152"/>
        <w:gridCol w:w="8858"/>
      </w:tblGrid>
      <w:tr w:rsidR="00F90FFE" w:rsidRPr="00F90FFE" w:rsidTr="00F90FFE">
        <w:tc>
          <w:tcPr>
            <w:tcW w:w="0" w:type="auto"/>
            <w:gridSpan w:val="3"/>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b/>
                <w:bCs/>
                <w:sz w:val="20"/>
                <w:szCs w:val="20"/>
              </w:rPr>
              <w:t>Exhibit </w:t>
            </w:r>
          </w:p>
        </w:tc>
      </w:tr>
      <w:tr w:rsidR="00F90FFE" w:rsidRPr="00F90FFE" w:rsidTr="00F90FFE">
        <w:tc>
          <w:tcPr>
            <w:tcW w:w="0" w:type="auto"/>
            <w:gridSpan w:val="3"/>
            <w:vAlign w:val="center"/>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r>
      <w:tr w:rsidR="00F90FFE" w:rsidRPr="00F90FFE" w:rsidTr="00F90FFE">
        <w:tc>
          <w:tcPr>
            <w:tcW w:w="15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31.1</w:t>
            </w:r>
          </w:p>
        </w:tc>
        <w:tc>
          <w:tcPr>
            <w:tcW w:w="100" w:type="pct"/>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4750" w:type="pct"/>
            <w:vAlign w:val="bottom"/>
            <w:hideMark/>
          </w:tcPr>
          <w:p w:rsidR="00F90FFE" w:rsidRPr="00F90FFE" w:rsidRDefault="00F90FFE" w:rsidP="00F90FFE">
            <w:pPr>
              <w:spacing w:after="0" w:line="276" w:lineRule="auto"/>
              <w:rPr>
                <w:rFonts w:ascii="Calibri" w:eastAsia="Times New Roman" w:hAnsi="Calibri" w:cs="Times New Roman"/>
                <w:sz w:val="20"/>
                <w:szCs w:val="20"/>
              </w:rPr>
            </w:pPr>
            <w:hyperlink r:id="rId4" w:history="1">
              <w:r w:rsidRPr="00F90FFE">
                <w:rPr>
                  <w:rFonts w:ascii="Times New Roman" w:eastAsia="Times New Roman" w:hAnsi="Times New Roman" w:cs="Times New Roman"/>
                  <w:color w:val="0000FF"/>
                  <w:sz w:val="20"/>
                  <w:szCs w:val="20"/>
                  <w:u w:val="single"/>
                </w:rPr>
                <w:t xml:space="preserve">Certification of Chief Executive Officer, Chief Financial Officer, </w:t>
              </w:r>
              <w:proofErr w:type="gramStart"/>
              <w:r w:rsidRPr="00F90FFE">
                <w:rPr>
                  <w:rFonts w:ascii="Times New Roman" w:eastAsia="Times New Roman" w:hAnsi="Times New Roman" w:cs="Times New Roman"/>
                  <w:color w:val="0000FF"/>
                  <w:sz w:val="20"/>
                  <w:szCs w:val="20"/>
                  <w:u w:val="single"/>
                </w:rPr>
                <w:t>Chief</w:t>
              </w:r>
              <w:proofErr w:type="gramEnd"/>
              <w:r w:rsidRPr="00F90FFE">
                <w:rPr>
                  <w:rFonts w:ascii="Times New Roman" w:eastAsia="Times New Roman" w:hAnsi="Times New Roman" w:cs="Times New Roman"/>
                  <w:color w:val="0000FF"/>
                  <w:sz w:val="20"/>
                  <w:szCs w:val="20"/>
                  <w:u w:val="single"/>
                </w:rPr>
                <w:t xml:space="preserve"> Accounting Officer required by Rule 13a-14(a) or Rule 15d-14(a) under the Securities Exchange Act of 1934, as amended.</w:t>
              </w:r>
            </w:hyperlink>
          </w:p>
        </w:tc>
      </w:tr>
      <w:tr w:rsidR="00F90FFE" w:rsidRPr="00F90FFE" w:rsidTr="00F90FFE">
        <w:tc>
          <w:tcPr>
            <w:tcW w:w="0" w:type="auto"/>
            <w:vAlign w:val="center"/>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gridSpan w:val="2"/>
            <w:vAlign w:val="center"/>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r>
      <w:tr w:rsidR="00F90FFE" w:rsidRPr="00F90FFE" w:rsidTr="00F90FFE">
        <w:tc>
          <w:tcPr>
            <w:tcW w:w="0" w:type="auto"/>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32.1</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hyperlink r:id="rId5" w:history="1">
              <w:r w:rsidRPr="00F90FFE">
                <w:rPr>
                  <w:rFonts w:ascii="Times New Roman" w:eastAsia="Times New Roman" w:hAnsi="Times New Roman" w:cs="Times New Roman"/>
                  <w:color w:val="0000FF"/>
                  <w:sz w:val="20"/>
                  <w:szCs w:val="20"/>
                  <w:u w:val="single"/>
                </w:rPr>
                <w:t xml:space="preserve">Certification of Chief Executive Officer, Chief Financial Officer, </w:t>
              </w:r>
              <w:proofErr w:type="gramStart"/>
              <w:r w:rsidRPr="00F90FFE">
                <w:rPr>
                  <w:rFonts w:ascii="Times New Roman" w:eastAsia="Times New Roman" w:hAnsi="Times New Roman" w:cs="Times New Roman"/>
                  <w:color w:val="0000FF"/>
                  <w:sz w:val="20"/>
                  <w:szCs w:val="20"/>
                  <w:u w:val="single"/>
                </w:rPr>
                <w:t>Chief</w:t>
              </w:r>
              <w:proofErr w:type="gramEnd"/>
              <w:r w:rsidRPr="00F90FFE">
                <w:rPr>
                  <w:rFonts w:ascii="Times New Roman" w:eastAsia="Times New Roman" w:hAnsi="Times New Roman" w:cs="Times New Roman"/>
                  <w:color w:val="0000FF"/>
                  <w:sz w:val="20"/>
                  <w:szCs w:val="20"/>
                  <w:u w:val="single"/>
                </w:rPr>
                <w:t xml:space="preserve"> Accounting Officer required by Rule 13a-14(a) or Rule 15d-14(a) under the Securities Exchange Act of 1934, as amended.</w:t>
              </w:r>
            </w:hyperlink>
          </w:p>
        </w:tc>
      </w:tr>
    </w:tbl>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lastRenderedPageBreak/>
        <w:t>(b)  Reports on Form 8-K</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None.</w:t>
      </w:r>
    </w:p>
    <w:p w:rsidR="00F90FFE" w:rsidRPr="00F90FFE" w:rsidRDefault="00F90FFE" w:rsidP="00F90FFE">
      <w:pPr>
        <w:spacing w:after="0" w:line="240" w:lineRule="auto"/>
        <w:ind w:firstLine="720"/>
        <w:rPr>
          <w:rFonts w:ascii="Arial" w:eastAsia="Times New Roman" w:hAnsi="Arial" w:cs="Arial"/>
          <w:sz w:val="20"/>
          <w:szCs w:val="20"/>
        </w:rPr>
      </w:pPr>
      <w:r w:rsidRPr="00F90FFE">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-17-</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0"/>
                <w:szCs w:val="20"/>
              </w:rPr>
            </w:pPr>
            <w:hyperlink w:anchor="a_001" w:history="1">
              <w:r w:rsidRPr="00F90FFE">
                <w:rPr>
                  <w:rFonts w:ascii="Times New Roman" w:eastAsia="Times New Roman" w:hAnsi="Times New Roman" w:cs="Times New Roman"/>
                  <w:i/>
                  <w:iCs/>
                  <w:color w:val="0000FF"/>
                  <w:sz w:val="20"/>
                  <w:szCs w:val="20"/>
                  <w:u w:val="single"/>
                </w:rPr>
                <w:t>(table of contents)</w:t>
              </w:r>
            </w:hyperlink>
          </w:p>
        </w:tc>
      </w:tr>
    </w:tbl>
    <w:p w:rsidR="00F90FFE" w:rsidRPr="00F90FFE" w:rsidRDefault="00F90FFE" w:rsidP="00F90FFE">
      <w:pPr>
        <w:spacing w:after="200" w:line="276" w:lineRule="auto"/>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SIGNATURES</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rsidR="00F90FFE" w:rsidRPr="00F90FFE" w:rsidRDefault="00F90FFE" w:rsidP="00F90FFE">
      <w:pPr>
        <w:spacing w:after="0" w:line="240" w:lineRule="auto"/>
        <w:ind w:firstLine="720"/>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 </w:t>
      </w:r>
    </w:p>
    <w:p w:rsidR="00F90FFE" w:rsidRPr="00F90FFE" w:rsidRDefault="00F90FFE" w:rsidP="00F90FFE">
      <w:pPr>
        <w:spacing w:after="0" w:line="240" w:lineRule="auto"/>
        <w:rPr>
          <w:rFonts w:ascii="Times New Roman" w:eastAsia="Times New Roman" w:hAnsi="Times New Roman" w:cs="Times New Roman"/>
          <w:sz w:val="20"/>
          <w:szCs w:val="20"/>
        </w:rPr>
      </w:pPr>
      <w:r w:rsidRPr="00F90FFE">
        <w:rPr>
          <w:rFonts w:ascii="Times New Roman" w:eastAsia="Times New Roman" w:hAnsi="Times New Roman" w:cs="Times New Roman"/>
          <w:b/>
          <w:bCs/>
          <w:sz w:val="20"/>
          <w:szCs w:val="20"/>
        </w:rPr>
        <w:t>NANOANTIBIOTICS, INC.</w:t>
      </w:r>
    </w:p>
    <w:tbl>
      <w:tblPr>
        <w:tblW w:w="5000" w:type="pct"/>
        <w:tblCellMar>
          <w:left w:w="0" w:type="dxa"/>
          <w:right w:w="0" w:type="dxa"/>
        </w:tblCellMar>
        <w:tblLook w:val="04A0" w:firstRow="1" w:lastRow="0" w:firstColumn="1" w:lastColumn="0" w:noHBand="0" w:noVBand="1"/>
      </w:tblPr>
      <w:tblGrid>
        <w:gridCol w:w="1685"/>
        <w:gridCol w:w="187"/>
        <w:gridCol w:w="5242"/>
        <w:gridCol w:w="187"/>
        <w:gridCol w:w="2059"/>
      </w:tblGrid>
      <w:tr w:rsidR="00F90FFE" w:rsidRPr="00F90FFE" w:rsidTr="00F90FFE">
        <w:tc>
          <w:tcPr>
            <w:tcW w:w="9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1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28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1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1100" w:type="pct"/>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Signature</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Titles</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Date</w:t>
            </w:r>
          </w:p>
        </w:tc>
      </w:tr>
      <w:tr w:rsidR="00F90FFE" w:rsidRPr="00F90FFE" w:rsidTr="00F90FFE">
        <w:tc>
          <w:tcPr>
            <w:tcW w:w="0" w:type="auto"/>
            <w:gridSpan w:val="3"/>
            <w:vAlign w:val="bottom"/>
            <w:hideMark/>
          </w:tcPr>
          <w:p w:rsidR="00F90FFE" w:rsidRPr="00F90FFE" w:rsidRDefault="00F90FFE" w:rsidP="00F90FFE">
            <w:pPr>
              <w:spacing w:after="0" w:line="276" w:lineRule="auto"/>
              <w:rPr>
                <w:rFonts w:ascii="Calibri" w:eastAsia="Times New Roman" w:hAnsi="Calibri" w:cs="Times New Roman"/>
                <w:sz w:val="20"/>
                <w:szCs w:val="20"/>
                <w:u w:val="single"/>
              </w:rPr>
            </w:pPr>
            <w:r w:rsidRPr="00F90FFE">
              <w:rPr>
                <w:rFonts w:ascii="Times New Roman" w:eastAsia="Times New Roman" w:hAnsi="Times New Roman" w:cs="Times New Roman"/>
                <w:i/>
                <w:iCs/>
                <w:sz w:val="20"/>
                <w:szCs w:val="20"/>
                <w:u w:val="single"/>
              </w:rPr>
              <w:t>/s/</w:t>
            </w:r>
            <w:r w:rsidRPr="00F90FFE">
              <w:rPr>
                <w:rFonts w:ascii="Times New Roman" w:eastAsia="Times New Roman" w:hAnsi="Times New Roman" w:cs="Times New Roman"/>
                <w:sz w:val="20"/>
                <w:szCs w:val="20"/>
                <w:u w:val="single"/>
              </w:rPr>
              <w:t> </w:t>
            </w:r>
            <w:r w:rsidRPr="00F90FFE">
              <w:rPr>
                <w:rFonts w:ascii="Times New Roman" w:eastAsia="Times New Roman" w:hAnsi="Times New Roman" w:cs="Times New Roman"/>
                <w:i/>
                <w:iCs/>
                <w:sz w:val="20"/>
                <w:szCs w:val="20"/>
                <w:u w:val="single"/>
              </w:rPr>
              <w:t>Elliot Ehrlich</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Elliot Ehrlich</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Chief Executive Officer, Chief Financial Officer, Principal Executive Officer and Principal Financial and Accounting Officer, Corporate Secretary, Treasurer and Chairman of the Board</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November 13, 2014</w:t>
            </w:r>
          </w:p>
        </w:tc>
      </w:tr>
      <w:tr w:rsidR="00F90FFE" w:rsidRPr="00F90FFE" w:rsidTr="00F90FFE">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r>
      <w:tr w:rsidR="00F90FFE" w:rsidRPr="00F90FFE" w:rsidTr="00F90FFE">
        <w:tc>
          <w:tcPr>
            <w:tcW w:w="0" w:type="auto"/>
            <w:gridSpan w:val="3"/>
            <w:vAlign w:val="bottom"/>
            <w:hideMark/>
          </w:tcPr>
          <w:p w:rsidR="00F90FFE" w:rsidRPr="00F90FFE" w:rsidRDefault="00F90FFE" w:rsidP="00F90FFE">
            <w:pPr>
              <w:spacing w:after="0" w:line="276" w:lineRule="auto"/>
              <w:rPr>
                <w:rFonts w:ascii="Calibri" w:eastAsia="Times New Roman" w:hAnsi="Calibri" w:cs="Times New Roman"/>
                <w:sz w:val="20"/>
                <w:szCs w:val="20"/>
                <w:u w:val="single"/>
              </w:rPr>
            </w:pPr>
            <w:r w:rsidRPr="00F90FFE">
              <w:rPr>
                <w:rFonts w:ascii="Times New Roman" w:eastAsia="Times New Roman" w:hAnsi="Times New Roman" w:cs="Times New Roman"/>
                <w:i/>
                <w:iCs/>
                <w:sz w:val="20"/>
                <w:szCs w:val="20"/>
                <w:u w:val="single"/>
              </w:rPr>
              <w:t>/s/ Rajah Menon</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r>
      <w:tr w:rsidR="00F90FFE" w:rsidRPr="00F90FFE" w:rsidTr="00F90FFE">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Rajah Menon</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President and Director</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Times New Roman" w:eastAsia="Times New Roman" w:hAnsi="Times New Roman" w:cs="Times New Roman"/>
                <w:sz w:val="20"/>
                <w:szCs w:val="20"/>
              </w:rPr>
              <w:t>November 13, 2014</w:t>
            </w:r>
          </w:p>
        </w:tc>
      </w:tr>
      <w:tr w:rsidR="00F90FFE" w:rsidRPr="00F90FFE" w:rsidTr="00F90FFE">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c>
          <w:tcPr>
            <w:tcW w:w="0" w:type="auto"/>
            <w:vAlign w:val="bottom"/>
            <w:hideMark/>
          </w:tcPr>
          <w:p w:rsidR="00F90FFE" w:rsidRPr="00F90FFE" w:rsidRDefault="00F90FFE" w:rsidP="00F90FFE">
            <w:pPr>
              <w:spacing w:after="0" w:line="276" w:lineRule="auto"/>
              <w:rPr>
                <w:rFonts w:ascii="Calibri" w:eastAsia="Times New Roman" w:hAnsi="Calibri" w:cs="Times New Roman"/>
                <w:sz w:val="20"/>
                <w:szCs w:val="20"/>
              </w:rPr>
            </w:pPr>
            <w:r w:rsidRPr="00F90FFE">
              <w:rPr>
                <w:rFonts w:ascii="Calibri" w:eastAsia="Times New Roman" w:hAnsi="Calibri" w:cs="Times New Roman"/>
                <w:sz w:val="20"/>
                <w:szCs w:val="20"/>
              </w:rPr>
              <w:t> </w:t>
            </w:r>
          </w:p>
        </w:tc>
      </w:tr>
    </w:tbl>
    <w:p w:rsidR="00F90FFE" w:rsidRPr="00F90FFE" w:rsidRDefault="00F90FFE" w:rsidP="00F90FFE">
      <w:pPr>
        <w:spacing w:after="0" w:line="240" w:lineRule="auto"/>
        <w:ind w:firstLine="720"/>
        <w:rPr>
          <w:rFonts w:ascii="Arial" w:eastAsia="Times New Roman" w:hAnsi="Arial" w:cs="Arial"/>
          <w:sz w:val="20"/>
          <w:szCs w:val="20"/>
        </w:rPr>
      </w:pPr>
      <w:r w:rsidRPr="00F90FFE">
        <w:rPr>
          <w:rFonts w:ascii="Arial" w:eastAsia="Times New Roman" w:hAnsi="Arial" w:cs="Arial"/>
          <w:sz w:val="20"/>
          <w:szCs w:val="20"/>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9360"/>
      </w:tblGrid>
      <w:tr w:rsidR="00F90FFE" w:rsidRPr="00F90FFE" w:rsidTr="00F90FFE">
        <w:tc>
          <w:tcPr>
            <w:tcW w:w="5000" w:type="pct"/>
            <w:vAlign w:val="center"/>
            <w:hideMark/>
          </w:tcPr>
          <w:p w:rsidR="00F90FFE" w:rsidRPr="00F90FFE" w:rsidRDefault="00F90FFE" w:rsidP="00F90FFE">
            <w:pPr>
              <w:spacing w:after="0" w:line="240" w:lineRule="auto"/>
              <w:jc w:val="center"/>
              <w:rPr>
                <w:rFonts w:ascii="Times New Roman" w:eastAsia="Times New Roman" w:hAnsi="Times New Roman" w:cs="Times New Roman"/>
                <w:sz w:val="20"/>
                <w:szCs w:val="20"/>
              </w:rPr>
            </w:pPr>
            <w:r w:rsidRPr="00F90FFE">
              <w:rPr>
                <w:rFonts w:ascii="Times New Roman" w:eastAsia="Times New Roman" w:hAnsi="Times New Roman" w:cs="Times New Roman"/>
                <w:sz w:val="20"/>
                <w:szCs w:val="20"/>
              </w:rPr>
              <w:t>-18-</w:t>
            </w:r>
          </w:p>
        </w:tc>
      </w:tr>
      <w:tr w:rsidR="00F90FFE" w:rsidRPr="00F90FFE" w:rsidTr="00F90FFE">
        <w:tc>
          <w:tcPr>
            <w:tcW w:w="5000" w:type="pct"/>
            <w:vAlign w:val="center"/>
            <w:hideMark/>
          </w:tcPr>
          <w:p w:rsidR="00F90FFE" w:rsidRPr="00F90FFE" w:rsidRDefault="00F90FFE" w:rsidP="00F90FFE">
            <w:pPr>
              <w:spacing w:after="0" w:line="240" w:lineRule="auto"/>
              <w:rPr>
                <w:rFonts w:ascii="Times New Roman" w:eastAsia="Times New Roman" w:hAnsi="Times New Roman" w:cs="Times New Roman"/>
                <w:sz w:val="24"/>
                <w:szCs w:val="24"/>
              </w:rPr>
            </w:pPr>
          </w:p>
        </w:tc>
      </w:tr>
    </w:tbl>
    <w:p w:rsidR="00F90FFE" w:rsidRPr="00F90FFE" w:rsidRDefault="00F90FFE" w:rsidP="00F90FFE">
      <w:pPr>
        <w:spacing w:after="0" w:line="240" w:lineRule="auto"/>
        <w:ind w:firstLine="720"/>
        <w:rPr>
          <w:rFonts w:ascii="Times New Roman" w:eastAsia="Times New Roman" w:hAnsi="Times New Roman" w:cs="Times New Roman"/>
          <w:sz w:val="16"/>
          <w:szCs w:val="16"/>
        </w:rPr>
      </w:pPr>
      <w:r w:rsidRPr="00F90FFE">
        <w:rPr>
          <w:rFonts w:ascii="Times New Roman" w:eastAsia="Times New Roman" w:hAnsi="Times New Roman" w:cs="Times New Roman"/>
          <w:sz w:val="16"/>
          <w:szCs w:val="16"/>
        </w:rPr>
        <w:t> </w:t>
      </w:r>
    </w:p>
    <w:p w:rsidR="009525FD" w:rsidRDefault="009525FD">
      <w:bookmarkStart w:id="16" w:name="_GoBack"/>
      <w:bookmarkEnd w:id="16"/>
    </w:p>
    <w:sectPr w:rsidR="00952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FE"/>
    <w:rsid w:val="00004760"/>
    <w:rsid w:val="00023BE0"/>
    <w:rsid w:val="00041BD8"/>
    <w:rsid w:val="000423C6"/>
    <w:rsid w:val="0004695F"/>
    <w:rsid w:val="000A5E83"/>
    <w:rsid w:val="000B1ED3"/>
    <w:rsid w:val="000D4A29"/>
    <w:rsid w:val="000D6203"/>
    <w:rsid w:val="000E4B73"/>
    <w:rsid w:val="000F29BD"/>
    <w:rsid w:val="00155122"/>
    <w:rsid w:val="00162447"/>
    <w:rsid w:val="00173C44"/>
    <w:rsid w:val="0017578D"/>
    <w:rsid w:val="001A16E3"/>
    <w:rsid w:val="001A1FDF"/>
    <w:rsid w:val="001C5708"/>
    <w:rsid w:val="001C772A"/>
    <w:rsid w:val="001D548B"/>
    <w:rsid w:val="002026CE"/>
    <w:rsid w:val="00205AAD"/>
    <w:rsid w:val="00233549"/>
    <w:rsid w:val="00234A86"/>
    <w:rsid w:val="002542A5"/>
    <w:rsid w:val="0025550B"/>
    <w:rsid w:val="002563B0"/>
    <w:rsid w:val="0028007D"/>
    <w:rsid w:val="0028051A"/>
    <w:rsid w:val="00285A11"/>
    <w:rsid w:val="002B2AFB"/>
    <w:rsid w:val="002C7AD7"/>
    <w:rsid w:val="002D26ED"/>
    <w:rsid w:val="0034374F"/>
    <w:rsid w:val="00353D4E"/>
    <w:rsid w:val="00355A63"/>
    <w:rsid w:val="0037150B"/>
    <w:rsid w:val="0037228D"/>
    <w:rsid w:val="003739B9"/>
    <w:rsid w:val="0038695A"/>
    <w:rsid w:val="00390BDF"/>
    <w:rsid w:val="0039639F"/>
    <w:rsid w:val="003D6352"/>
    <w:rsid w:val="003E008A"/>
    <w:rsid w:val="003F3659"/>
    <w:rsid w:val="00404084"/>
    <w:rsid w:val="00406F3E"/>
    <w:rsid w:val="00425051"/>
    <w:rsid w:val="0045713E"/>
    <w:rsid w:val="00473F5B"/>
    <w:rsid w:val="00480DE6"/>
    <w:rsid w:val="004958F8"/>
    <w:rsid w:val="004B0E5D"/>
    <w:rsid w:val="004B42A7"/>
    <w:rsid w:val="004C5EA2"/>
    <w:rsid w:val="004D0ED7"/>
    <w:rsid w:val="004E5D88"/>
    <w:rsid w:val="004E5F01"/>
    <w:rsid w:val="004F68D3"/>
    <w:rsid w:val="00520A6D"/>
    <w:rsid w:val="00572A1A"/>
    <w:rsid w:val="00584F8F"/>
    <w:rsid w:val="005B1C31"/>
    <w:rsid w:val="005D2EAD"/>
    <w:rsid w:val="005D5EC2"/>
    <w:rsid w:val="006043B7"/>
    <w:rsid w:val="00612C1A"/>
    <w:rsid w:val="006207B0"/>
    <w:rsid w:val="00621B15"/>
    <w:rsid w:val="0063434E"/>
    <w:rsid w:val="006420A3"/>
    <w:rsid w:val="006554DB"/>
    <w:rsid w:val="00694F4A"/>
    <w:rsid w:val="006B066E"/>
    <w:rsid w:val="006B4C83"/>
    <w:rsid w:val="00753653"/>
    <w:rsid w:val="00785DC0"/>
    <w:rsid w:val="007A22C3"/>
    <w:rsid w:val="007A5E01"/>
    <w:rsid w:val="007C235D"/>
    <w:rsid w:val="007C72AE"/>
    <w:rsid w:val="007E6C67"/>
    <w:rsid w:val="008006BB"/>
    <w:rsid w:val="00816939"/>
    <w:rsid w:val="00843904"/>
    <w:rsid w:val="0085265D"/>
    <w:rsid w:val="00867B8C"/>
    <w:rsid w:val="008A1CAB"/>
    <w:rsid w:val="008B3E35"/>
    <w:rsid w:val="008B40B6"/>
    <w:rsid w:val="008E0686"/>
    <w:rsid w:val="009208F2"/>
    <w:rsid w:val="00924BFE"/>
    <w:rsid w:val="00925DDF"/>
    <w:rsid w:val="00927047"/>
    <w:rsid w:val="0093459D"/>
    <w:rsid w:val="00946EDD"/>
    <w:rsid w:val="009525FD"/>
    <w:rsid w:val="00963757"/>
    <w:rsid w:val="0098576A"/>
    <w:rsid w:val="0098613D"/>
    <w:rsid w:val="009907F8"/>
    <w:rsid w:val="00992F0C"/>
    <w:rsid w:val="009B4F2D"/>
    <w:rsid w:val="009F024A"/>
    <w:rsid w:val="009F73AC"/>
    <w:rsid w:val="00A028C4"/>
    <w:rsid w:val="00A050D8"/>
    <w:rsid w:val="00A37686"/>
    <w:rsid w:val="00A93704"/>
    <w:rsid w:val="00AB3FB0"/>
    <w:rsid w:val="00AD6AEB"/>
    <w:rsid w:val="00AE79FB"/>
    <w:rsid w:val="00B74F32"/>
    <w:rsid w:val="00B8492E"/>
    <w:rsid w:val="00BB23A8"/>
    <w:rsid w:val="00BC4F7A"/>
    <w:rsid w:val="00BD31B8"/>
    <w:rsid w:val="00BD70E0"/>
    <w:rsid w:val="00BF3115"/>
    <w:rsid w:val="00C02E37"/>
    <w:rsid w:val="00C0555D"/>
    <w:rsid w:val="00C06F24"/>
    <w:rsid w:val="00C15D72"/>
    <w:rsid w:val="00C161CD"/>
    <w:rsid w:val="00C16882"/>
    <w:rsid w:val="00C328DB"/>
    <w:rsid w:val="00C6536B"/>
    <w:rsid w:val="00C70801"/>
    <w:rsid w:val="00CC376F"/>
    <w:rsid w:val="00CC6DD5"/>
    <w:rsid w:val="00CF3C46"/>
    <w:rsid w:val="00D1263F"/>
    <w:rsid w:val="00D378E6"/>
    <w:rsid w:val="00D4596F"/>
    <w:rsid w:val="00D74206"/>
    <w:rsid w:val="00DA444F"/>
    <w:rsid w:val="00DB0F45"/>
    <w:rsid w:val="00DB749A"/>
    <w:rsid w:val="00DE579C"/>
    <w:rsid w:val="00E411E9"/>
    <w:rsid w:val="00E45538"/>
    <w:rsid w:val="00E67AED"/>
    <w:rsid w:val="00EC3489"/>
    <w:rsid w:val="00ED16DA"/>
    <w:rsid w:val="00EF619F"/>
    <w:rsid w:val="00F152AB"/>
    <w:rsid w:val="00F455C0"/>
    <w:rsid w:val="00F536A6"/>
    <w:rsid w:val="00F559E6"/>
    <w:rsid w:val="00F65BA7"/>
    <w:rsid w:val="00F755A0"/>
    <w:rsid w:val="00F90FFE"/>
    <w:rsid w:val="00FB7737"/>
    <w:rsid w:val="00FC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12A8D-61E2-465F-8617-9902737B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F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0FFE"/>
    <w:rPr>
      <w:color w:val="0000FF"/>
      <w:u w:val="single"/>
    </w:rPr>
  </w:style>
  <w:style w:type="character" w:styleId="FollowedHyperlink">
    <w:name w:val="FollowedHyperlink"/>
    <w:basedOn w:val="DefaultParagraphFont"/>
    <w:uiPriority w:val="99"/>
    <w:semiHidden/>
    <w:unhideWhenUsed/>
    <w:rsid w:val="00F90FF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797647">
      <w:bodyDiv w:val="1"/>
      <w:marLeft w:val="0"/>
      <w:marRight w:val="0"/>
      <w:marTop w:val="0"/>
      <w:marBottom w:val="0"/>
      <w:divBdr>
        <w:top w:val="none" w:sz="0" w:space="0" w:color="auto"/>
        <w:left w:val="none" w:sz="0" w:space="0" w:color="auto"/>
        <w:bottom w:val="none" w:sz="0" w:space="0" w:color="auto"/>
        <w:right w:val="none" w:sz="0" w:space="0" w:color="auto"/>
      </w:divBdr>
      <w:divsChild>
        <w:div w:id="2111201758">
          <w:marLeft w:val="0"/>
          <w:marRight w:val="0"/>
          <w:marTop w:val="240"/>
          <w:marBottom w:val="120"/>
          <w:divBdr>
            <w:top w:val="none" w:sz="0" w:space="0" w:color="auto"/>
            <w:left w:val="none" w:sz="0" w:space="0" w:color="auto"/>
            <w:bottom w:val="single" w:sz="8" w:space="0" w:color="000000"/>
            <w:right w:val="none" w:sz="0" w:space="0" w:color="auto"/>
          </w:divBdr>
        </w:div>
        <w:div w:id="1419398931">
          <w:marLeft w:val="0"/>
          <w:marRight w:val="0"/>
          <w:marTop w:val="240"/>
          <w:marBottom w:val="120"/>
          <w:divBdr>
            <w:top w:val="none" w:sz="0" w:space="0" w:color="auto"/>
            <w:left w:val="none" w:sz="0" w:space="0" w:color="auto"/>
            <w:bottom w:val="single" w:sz="8" w:space="0" w:color="000000"/>
            <w:right w:val="none" w:sz="0" w:space="0" w:color="auto"/>
          </w:divBdr>
        </w:div>
        <w:div w:id="1502698561">
          <w:marLeft w:val="0"/>
          <w:marRight w:val="0"/>
          <w:marTop w:val="240"/>
          <w:marBottom w:val="120"/>
          <w:divBdr>
            <w:top w:val="none" w:sz="0" w:space="0" w:color="auto"/>
            <w:left w:val="none" w:sz="0" w:space="0" w:color="auto"/>
            <w:bottom w:val="single" w:sz="8" w:space="0" w:color="000000"/>
            <w:right w:val="none" w:sz="0" w:space="0" w:color="auto"/>
          </w:divBdr>
        </w:div>
        <w:div w:id="456722898">
          <w:marLeft w:val="0"/>
          <w:marRight w:val="0"/>
          <w:marTop w:val="240"/>
          <w:marBottom w:val="120"/>
          <w:divBdr>
            <w:top w:val="none" w:sz="0" w:space="0" w:color="auto"/>
            <w:left w:val="none" w:sz="0" w:space="0" w:color="auto"/>
            <w:bottom w:val="single" w:sz="8" w:space="0" w:color="000000"/>
            <w:right w:val="none" w:sz="0" w:space="0" w:color="auto"/>
          </w:divBdr>
        </w:div>
        <w:div w:id="914439675">
          <w:marLeft w:val="0"/>
          <w:marRight w:val="0"/>
          <w:marTop w:val="240"/>
          <w:marBottom w:val="120"/>
          <w:divBdr>
            <w:top w:val="none" w:sz="0" w:space="0" w:color="auto"/>
            <w:left w:val="none" w:sz="0" w:space="0" w:color="auto"/>
            <w:bottom w:val="single" w:sz="8" w:space="0" w:color="000000"/>
            <w:right w:val="none" w:sz="0" w:space="0" w:color="auto"/>
          </w:divBdr>
        </w:div>
        <w:div w:id="1288702588">
          <w:marLeft w:val="0"/>
          <w:marRight w:val="0"/>
          <w:marTop w:val="240"/>
          <w:marBottom w:val="120"/>
          <w:divBdr>
            <w:top w:val="none" w:sz="0" w:space="0" w:color="auto"/>
            <w:left w:val="none" w:sz="0" w:space="0" w:color="auto"/>
            <w:bottom w:val="single" w:sz="8" w:space="0" w:color="000000"/>
            <w:right w:val="none" w:sz="0" w:space="0" w:color="auto"/>
          </w:divBdr>
        </w:div>
        <w:div w:id="1994134789">
          <w:marLeft w:val="0"/>
          <w:marRight w:val="0"/>
          <w:marTop w:val="240"/>
          <w:marBottom w:val="120"/>
          <w:divBdr>
            <w:top w:val="none" w:sz="0" w:space="0" w:color="auto"/>
            <w:left w:val="none" w:sz="0" w:space="0" w:color="auto"/>
            <w:bottom w:val="single" w:sz="8" w:space="0" w:color="000000"/>
            <w:right w:val="none" w:sz="0" w:space="0" w:color="auto"/>
          </w:divBdr>
        </w:div>
        <w:div w:id="2111508875">
          <w:marLeft w:val="0"/>
          <w:marRight w:val="0"/>
          <w:marTop w:val="240"/>
          <w:marBottom w:val="120"/>
          <w:divBdr>
            <w:top w:val="none" w:sz="0" w:space="0" w:color="auto"/>
            <w:left w:val="none" w:sz="0" w:space="0" w:color="auto"/>
            <w:bottom w:val="single" w:sz="8" w:space="0" w:color="000000"/>
            <w:right w:val="none" w:sz="0" w:space="0" w:color="auto"/>
          </w:divBdr>
        </w:div>
        <w:div w:id="1672101497">
          <w:marLeft w:val="0"/>
          <w:marRight w:val="0"/>
          <w:marTop w:val="240"/>
          <w:marBottom w:val="120"/>
          <w:divBdr>
            <w:top w:val="none" w:sz="0" w:space="0" w:color="auto"/>
            <w:left w:val="none" w:sz="0" w:space="0" w:color="auto"/>
            <w:bottom w:val="single" w:sz="8" w:space="0" w:color="000000"/>
            <w:right w:val="none" w:sz="0" w:space="0" w:color="auto"/>
          </w:divBdr>
        </w:div>
        <w:div w:id="1130628141">
          <w:marLeft w:val="0"/>
          <w:marRight w:val="0"/>
          <w:marTop w:val="240"/>
          <w:marBottom w:val="120"/>
          <w:divBdr>
            <w:top w:val="none" w:sz="0" w:space="0" w:color="auto"/>
            <w:left w:val="none" w:sz="0" w:space="0" w:color="auto"/>
            <w:bottom w:val="single" w:sz="8" w:space="0" w:color="000000"/>
            <w:right w:val="none" w:sz="0" w:space="0" w:color="auto"/>
          </w:divBdr>
        </w:div>
        <w:div w:id="977227561">
          <w:marLeft w:val="0"/>
          <w:marRight w:val="0"/>
          <w:marTop w:val="240"/>
          <w:marBottom w:val="120"/>
          <w:divBdr>
            <w:top w:val="none" w:sz="0" w:space="0" w:color="auto"/>
            <w:left w:val="none" w:sz="0" w:space="0" w:color="auto"/>
            <w:bottom w:val="single" w:sz="8" w:space="0" w:color="000000"/>
            <w:right w:val="none" w:sz="0" w:space="0" w:color="auto"/>
          </w:divBdr>
        </w:div>
        <w:div w:id="675377627">
          <w:marLeft w:val="0"/>
          <w:marRight w:val="0"/>
          <w:marTop w:val="240"/>
          <w:marBottom w:val="120"/>
          <w:divBdr>
            <w:top w:val="none" w:sz="0" w:space="0" w:color="auto"/>
            <w:left w:val="none" w:sz="0" w:space="0" w:color="auto"/>
            <w:bottom w:val="single" w:sz="8" w:space="0" w:color="000000"/>
            <w:right w:val="none" w:sz="0" w:space="0" w:color="auto"/>
          </w:divBdr>
        </w:div>
        <w:div w:id="1274285046">
          <w:marLeft w:val="0"/>
          <w:marRight w:val="0"/>
          <w:marTop w:val="240"/>
          <w:marBottom w:val="120"/>
          <w:divBdr>
            <w:top w:val="none" w:sz="0" w:space="0" w:color="auto"/>
            <w:left w:val="none" w:sz="0" w:space="0" w:color="auto"/>
            <w:bottom w:val="single" w:sz="8" w:space="0" w:color="000000"/>
            <w:right w:val="none" w:sz="0" w:space="0" w:color="auto"/>
          </w:divBdr>
        </w:div>
        <w:div w:id="1044792101">
          <w:marLeft w:val="0"/>
          <w:marRight w:val="0"/>
          <w:marTop w:val="240"/>
          <w:marBottom w:val="120"/>
          <w:divBdr>
            <w:top w:val="none" w:sz="0" w:space="0" w:color="auto"/>
            <w:left w:val="none" w:sz="0" w:space="0" w:color="auto"/>
            <w:bottom w:val="single" w:sz="8" w:space="0" w:color="000000"/>
            <w:right w:val="none" w:sz="0" w:space="0" w:color="auto"/>
          </w:divBdr>
        </w:div>
        <w:div w:id="411972563">
          <w:marLeft w:val="0"/>
          <w:marRight w:val="0"/>
          <w:marTop w:val="240"/>
          <w:marBottom w:val="120"/>
          <w:divBdr>
            <w:top w:val="none" w:sz="0" w:space="0" w:color="auto"/>
            <w:left w:val="none" w:sz="0" w:space="0" w:color="auto"/>
            <w:bottom w:val="single" w:sz="8" w:space="0" w:color="000000"/>
            <w:right w:val="none" w:sz="0" w:space="0" w:color="auto"/>
          </w:divBdr>
        </w:div>
        <w:div w:id="232086521">
          <w:marLeft w:val="0"/>
          <w:marRight w:val="0"/>
          <w:marTop w:val="240"/>
          <w:marBottom w:val="120"/>
          <w:divBdr>
            <w:top w:val="none" w:sz="0" w:space="0" w:color="auto"/>
            <w:left w:val="none" w:sz="0" w:space="0" w:color="auto"/>
            <w:bottom w:val="single" w:sz="8" w:space="0" w:color="000000"/>
            <w:right w:val="none" w:sz="0" w:space="0" w:color="auto"/>
          </w:divBdr>
        </w:div>
        <w:div w:id="476652038">
          <w:marLeft w:val="0"/>
          <w:marRight w:val="0"/>
          <w:marTop w:val="240"/>
          <w:marBottom w:val="120"/>
          <w:divBdr>
            <w:top w:val="none" w:sz="0" w:space="0" w:color="auto"/>
            <w:left w:val="none" w:sz="0" w:space="0" w:color="auto"/>
            <w:bottom w:val="single" w:sz="8" w:space="0" w:color="000000"/>
            <w:right w:val="none" w:sz="0" w:space="0" w:color="auto"/>
          </w:divBdr>
        </w:div>
        <w:div w:id="1859924354">
          <w:marLeft w:val="0"/>
          <w:marRight w:val="0"/>
          <w:marTop w:val="240"/>
          <w:marBottom w:val="120"/>
          <w:divBdr>
            <w:top w:val="none" w:sz="0" w:space="0" w:color="auto"/>
            <w:left w:val="none" w:sz="0" w:space="0" w:color="auto"/>
            <w:bottom w:val="single" w:sz="8"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nnab-20140930_10qex32z1.htm" TargetMode="External"/><Relationship Id="rId4" Type="http://schemas.openxmlformats.org/officeDocument/2006/relationships/hyperlink" Target="nnab-20140930_10qex31z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6906</Words>
  <Characters>39367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Brickell</dc:creator>
  <cp:keywords/>
  <dc:description/>
  <cp:lastModifiedBy>Frank Brickell</cp:lastModifiedBy>
  <cp:revision>1</cp:revision>
  <dcterms:created xsi:type="dcterms:W3CDTF">2015-10-05T22:37:00Z</dcterms:created>
  <dcterms:modified xsi:type="dcterms:W3CDTF">2015-10-05T22:37:00Z</dcterms:modified>
</cp:coreProperties>
</file>