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DC6B18" w:rsidRPr="00DC6B18" w:rsidTr="00DC6B18">
        <w:tc>
          <w:tcPr>
            <w:tcW w:w="5000" w:type="pct"/>
            <w:tcBorders>
              <w:bottom w:val="single" w:sz="24" w:space="0" w:color="000000"/>
            </w:tcBorders>
            <w:hideMark/>
          </w:tcPr>
          <w:p w:rsidR="00DC6B18" w:rsidRPr="00DC6B18" w:rsidRDefault="00DC6B18" w:rsidP="00DC6B18">
            <w:pPr>
              <w:spacing w:after="0" w:line="256" w:lineRule="auto"/>
              <w:jc w:val="center"/>
              <w:rPr>
                <w:rFonts w:ascii="Calibri" w:eastAsia="Times New Roman" w:hAnsi="Calibri" w:cs="Times New Roman"/>
                <w:sz w:val="8"/>
                <w:szCs w:val="8"/>
              </w:rPr>
            </w:pPr>
            <w:r w:rsidRPr="00DC6B18">
              <w:rPr>
                <w:rFonts w:ascii="Calibri" w:eastAsia="Times New Roman" w:hAnsi="Calibri" w:cs="Times New Roman"/>
                <w:sz w:val="8"/>
                <w:szCs w:val="8"/>
              </w:rPr>
              <w:t> </w:t>
            </w:r>
          </w:p>
        </w:tc>
      </w:tr>
      <w:tr w:rsidR="00DC6B18" w:rsidRPr="00DC6B18" w:rsidTr="00DC6B18">
        <w:tc>
          <w:tcPr>
            <w:tcW w:w="0" w:type="auto"/>
            <w:tcBorders>
              <w:bottom w:val="single" w:sz="8" w:space="0" w:color="000000"/>
            </w:tcBorders>
            <w:hideMark/>
          </w:tcPr>
          <w:p w:rsidR="00DC6B18" w:rsidRPr="00DC6B18" w:rsidRDefault="00DC6B18" w:rsidP="00DC6B18">
            <w:pPr>
              <w:spacing w:after="0" w:line="256" w:lineRule="auto"/>
              <w:jc w:val="center"/>
              <w:rPr>
                <w:rFonts w:ascii="Calibri" w:eastAsia="Times New Roman" w:hAnsi="Calibri" w:cs="Times New Roman"/>
                <w:sz w:val="8"/>
                <w:szCs w:val="8"/>
              </w:rPr>
            </w:pPr>
            <w:r w:rsidRPr="00DC6B18">
              <w:rPr>
                <w:rFonts w:ascii="Calibri" w:eastAsia="Times New Roman" w:hAnsi="Calibri" w:cs="Times New Roman"/>
                <w:sz w:val="8"/>
                <w:szCs w:val="8"/>
              </w:rPr>
              <w:t> </w:t>
            </w:r>
          </w:p>
        </w:tc>
      </w:tr>
    </w:tbl>
    <w:p w:rsidR="00DC6B18" w:rsidRPr="00DC6B18" w:rsidRDefault="00DC6B18" w:rsidP="00DC6B18">
      <w:pPr>
        <w:spacing w:after="0" w:line="240" w:lineRule="auto"/>
        <w:ind w:firstLine="720"/>
        <w:jc w:val="center"/>
        <w:rPr>
          <w:rFonts w:ascii="Calibri" w:eastAsia="Times New Roman" w:hAnsi="Calibri" w:cs="Times New Roman"/>
          <w:sz w:val="10"/>
          <w:szCs w:val="10"/>
        </w:rPr>
      </w:pPr>
      <w:r w:rsidRPr="00DC6B18">
        <w:rPr>
          <w:rFonts w:ascii="Calibri" w:eastAsia="Times New Roman" w:hAnsi="Calibri" w:cs="Times New Roman"/>
          <w:sz w:val="10"/>
          <w:szCs w:val="10"/>
        </w:rPr>
        <w:t> </w:t>
      </w:r>
    </w:p>
    <w:p w:rsidR="00DC6B18" w:rsidRPr="00DC6B18" w:rsidRDefault="00DC6B18" w:rsidP="00DC6B18">
      <w:pPr>
        <w:spacing w:after="0" w:line="240" w:lineRule="auto"/>
        <w:jc w:val="center"/>
        <w:rPr>
          <w:rFonts w:ascii="Calibri" w:eastAsia="Times New Roman" w:hAnsi="Calibri" w:cs="Times New Roman"/>
        </w:rPr>
      </w:pPr>
      <w:r w:rsidRPr="00DC6B18">
        <w:rPr>
          <w:rFonts w:ascii="Times New Roman" w:eastAsia="Times New Roman" w:hAnsi="Times New Roman" w:cs="Times New Roman"/>
          <w:b/>
          <w:bCs/>
          <w:sz w:val="36"/>
          <w:szCs w:val="36"/>
        </w:rPr>
        <w:t>UNITED STATES</w:t>
      </w:r>
      <w:r w:rsidRPr="00DC6B18">
        <w:rPr>
          <w:rFonts w:ascii="Calibri" w:eastAsia="Times New Roman" w:hAnsi="Calibri" w:cs="Times New Roman"/>
        </w:rPr>
        <w:br/>
      </w:r>
      <w:r w:rsidRPr="00DC6B18">
        <w:rPr>
          <w:rFonts w:ascii="Times New Roman" w:eastAsia="Times New Roman" w:hAnsi="Times New Roman" w:cs="Times New Roman"/>
          <w:b/>
          <w:bCs/>
          <w:sz w:val="36"/>
          <w:szCs w:val="36"/>
        </w:rPr>
        <w:t>SECURITIES AND EXCHANGE COMMISSION</w:t>
      </w:r>
      <w:r w:rsidRPr="00DC6B18">
        <w:rPr>
          <w:rFonts w:ascii="Calibri" w:eastAsia="Times New Roman" w:hAnsi="Calibri" w:cs="Times New Roman"/>
        </w:rPr>
        <w:br/>
      </w:r>
      <w:r w:rsidRPr="00DC6B18">
        <w:rPr>
          <w:rFonts w:ascii="Times New Roman" w:eastAsia="Times New Roman" w:hAnsi="Times New Roman" w:cs="Times New Roman"/>
          <w:sz w:val="20"/>
          <w:szCs w:val="20"/>
        </w:rPr>
        <w:t>Washington, D.C. 20549</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center"/>
        <w:rPr>
          <w:rFonts w:ascii="Times New Roman" w:eastAsia="Times New Roman" w:hAnsi="Times New Roman" w:cs="Times New Roman"/>
          <w:sz w:val="32"/>
          <w:szCs w:val="32"/>
        </w:rPr>
      </w:pPr>
      <w:r w:rsidRPr="00DC6B18">
        <w:rPr>
          <w:rFonts w:ascii="Times New Roman" w:eastAsia="Times New Roman" w:hAnsi="Times New Roman" w:cs="Times New Roman"/>
          <w:b/>
          <w:bCs/>
          <w:sz w:val="32"/>
          <w:szCs w:val="32"/>
        </w:rPr>
        <w:t>FORM 10-K</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center"/>
        <w:rPr>
          <w:rFonts w:ascii="Times New Roman" w:eastAsia="Times New Roman" w:hAnsi="Times New Roman" w:cs="Times New Roman"/>
          <w:sz w:val="18"/>
          <w:szCs w:val="18"/>
        </w:rPr>
      </w:pPr>
      <w:r w:rsidRPr="00DC6B18">
        <w:rPr>
          <w:rFonts w:ascii="Times New Roman" w:eastAsia="Times New Roman" w:hAnsi="Times New Roman" w:cs="Times New Roman"/>
          <w:sz w:val="18"/>
          <w:szCs w:val="18"/>
        </w:rPr>
        <w:t>(Mark One)</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DC6B18" w:rsidRPr="00DC6B18" w:rsidTr="00DC6B18">
        <w:tc>
          <w:tcPr>
            <w:tcW w:w="300" w:type="dxa"/>
            <w:hideMark/>
          </w:tcPr>
          <w:p w:rsidR="00DC6B18" w:rsidRPr="00DC6B18" w:rsidRDefault="00DC6B18" w:rsidP="00DC6B18">
            <w:pPr>
              <w:spacing w:after="120" w:line="240" w:lineRule="auto"/>
              <w:jc w:val="right"/>
              <w:rPr>
                <w:rFonts w:ascii="Calibri" w:eastAsia="Times New Roman" w:hAnsi="Calibri" w:cs="Times New Roman"/>
              </w:rPr>
            </w:pPr>
            <w:r w:rsidRPr="00DC6B18">
              <w:rPr>
                <w:rFonts w:ascii="MS Mincho" w:eastAsia="MS Mincho" w:hAnsi="MS Mincho" w:cs="Times New Roman" w:hint="eastAsia"/>
                <w:sz w:val="24"/>
                <w:szCs w:val="24"/>
              </w:rPr>
              <w:t>☒</w:t>
            </w:r>
          </w:p>
        </w:tc>
        <w:tc>
          <w:tcPr>
            <w:tcW w:w="100" w:type="dxa"/>
            <w:hideMark/>
          </w:tcPr>
          <w:p w:rsidR="00DC6B18" w:rsidRPr="00DC6B18" w:rsidRDefault="00DC6B18" w:rsidP="00DC6B18">
            <w:pPr>
              <w:spacing w:after="120" w:line="240" w:lineRule="auto"/>
              <w:jc w:val="right"/>
              <w:rPr>
                <w:rFonts w:ascii="Calibri" w:eastAsia="Times New Roman" w:hAnsi="Calibri" w:cs="Times New Roman"/>
              </w:rPr>
            </w:pPr>
          </w:p>
        </w:tc>
        <w:tc>
          <w:tcPr>
            <w:tcW w:w="0" w:type="auto"/>
            <w:hideMark/>
          </w:tcPr>
          <w:p w:rsidR="00DC6B18" w:rsidRPr="00DC6B18" w:rsidRDefault="00DC6B18" w:rsidP="00DC6B18">
            <w:pPr>
              <w:spacing w:after="120" w:line="240" w:lineRule="auto"/>
              <w:jc w:val="both"/>
              <w:rPr>
                <w:rFonts w:ascii="Calibri" w:eastAsia="Times New Roman" w:hAnsi="Calibri" w:cs="Times New Roman"/>
              </w:rPr>
            </w:pPr>
            <w:r w:rsidRPr="00DC6B18">
              <w:rPr>
                <w:rFonts w:ascii="Times New Roman" w:eastAsia="Times New Roman" w:hAnsi="Times New Roman" w:cs="Times New Roman"/>
                <w:b/>
                <w:bCs/>
              </w:rPr>
              <w:t>ANNUAL REPORT UNDER SECTION 13 OR 15(d) OF THE SECURITIES EXCHANGE ACT OF 1934.</w:t>
            </w:r>
          </w:p>
        </w:tc>
      </w:tr>
    </w:tbl>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ind w:firstLine="600"/>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FOR THE FISCAL YEAR ENDED JUNE 30, 2015</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DC6B18" w:rsidRPr="00DC6B18" w:rsidTr="00DC6B18">
        <w:tc>
          <w:tcPr>
            <w:tcW w:w="300" w:type="dxa"/>
            <w:hideMark/>
          </w:tcPr>
          <w:p w:rsidR="00DC6B18" w:rsidRPr="00DC6B18" w:rsidRDefault="00DC6B18" w:rsidP="00DC6B18">
            <w:pPr>
              <w:spacing w:after="120" w:line="240" w:lineRule="auto"/>
              <w:jc w:val="right"/>
              <w:rPr>
                <w:rFonts w:ascii="Calibri" w:eastAsia="Times New Roman" w:hAnsi="Calibri" w:cs="Times New Roman"/>
              </w:rPr>
            </w:pPr>
            <w:r w:rsidRPr="00DC6B18">
              <w:rPr>
                <w:rFonts w:ascii="MS Mincho" w:eastAsia="MS Mincho" w:hAnsi="MS Mincho" w:cs="Times New Roman" w:hint="eastAsia"/>
                <w:sz w:val="24"/>
                <w:szCs w:val="24"/>
              </w:rPr>
              <w:t>☐</w:t>
            </w:r>
          </w:p>
        </w:tc>
        <w:tc>
          <w:tcPr>
            <w:tcW w:w="100" w:type="dxa"/>
            <w:hideMark/>
          </w:tcPr>
          <w:p w:rsidR="00DC6B18" w:rsidRPr="00DC6B18" w:rsidRDefault="00DC6B18" w:rsidP="00DC6B18">
            <w:pPr>
              <w:spacing w:after="120" w:line="240" w:lineRule="auto"/>
              <w:jc w:val="right"/>
              <w:rPr>
                <w:rFonts w:ascii="Calibri" w:eastAsia="Times New Roman" w:hAnsi="Calibri" w:cs="Times New Roman"/>
              </w:rPr>
            </w:pPr>
          </w:p>
        </w:tc>
        <w:tc>
          <w:tcPr>
            <w:tcW w:w="0" w:type="auto"/>
            <w:hideMark/>
          </w:tcPr>
          <w:p w:rsidR="00DC6B18" w:rsidRPr="00DC6B18" w:rsidRDefault="00DC6B18" w:rsidP="00DC6B18">
            <w:pPr>
              <w:spacing w:after="120" w:line="240" w:lineRule="auto"/>
              <w:jc w:val="both"/>
              <w:rPr>
                <w:rFonts w:ascii="Calibri" w:eastAsia="Times New Roman" w:hAnsi="Calibri" w:cs="Times New Roman"/>
              </w:rPr>
            </w:pPr>
            <w:r w:rsidRPr="00DC6B18">
              <w:rPr>
                <w:rFonts w:ascii="Times New Roman" w:eastAsia="Times New Roman" w:hAnsi="Times New Roman" w:cs="Times New Roman"/>
                <w:b/>
                <w:bCs/>
              </w:rPr>
              <w:t>TRANSITION REPORT PURSUANT TO SECTION 13 OR 15(d) OF THE SECURITIES EXCHANGE ACT OF 1934</w:t>
            </w:r>
          </w:p>
        </w:tc>
      </w:tr>
    </w:tbl>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For the transition period from ____________to _____________</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Commission File Number: </w:t>
      </w:r>
      <w:r w:rsidRPr="00DC6B18">
        <w:rPr>
          <w:rFonts w:ascii="Times New Roman" w:eastAsia="Times New Roman" w:hAnsi="Times New Roman" w:cs="Times New Roman"/>
          <w:b/>
          <w:bCs/>
          <w:sz w:val="20"/>
          <w:szCs w:val="20"/>
          <w:u w:val="single"/>
        </w:rPr>
        <w:t>333-190635</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36"/>
          <w:szCs w:val="36"/>
        </w:rPr>
      </w:pPr>
      <w:r w:rsidRPr="00DC6B18">
        <w:rPr>
          <w:rFonts w:ascii="Times New Roman" w:eastAsia="Times New Roman" w:hAnsi="Times New Roman" w:cs="Times New Roman"/>
          <w:b/>
          <w:bCs/>
          <w:sz w:val="36"/>
          <w:szCs w:val="36"/>
          <w:u w:val="single"/>
        </w:rPr>
        <w:t>NANOANTIBIOTICS, INC.</w:t>
      </w:r>
    </w:p>
    <w:p w:rsidR="00DC6B18" w:rsidRPr="00DC6B18" w:rsidRDefault="00DC6B18" w:rsidP="00DC6B18">
      <w:pPr>
        <w:spacing w:after="0" w:line="240" w:lineRule="auto"/>
        <w:ind w:firstLine="720"/>
        <w:jc w:val="center"/>
        <w:rPr>
          <w:rFonts w:ascii="Times New Roman" w:eastAsia="Times New Roman" w:hAnsi="Times New Roman" w:cs="Times New Roman"/>
          <w:sz w:val="18"/>
          <w:szCs w:val="18"/>
        </w:rPr>
      </w:pPr>
      <w:r w:rsidRPr="00DC6B18">
        <w:rPr>
          <w:rFonts w:ascii="Times New Roman" w:eastAsia="Times New Roman" w:hAnsi="Times New Roman" w:cs="Times New Roman"/>
          <w:i/>
          <w:iCs/>
          <w:sz w:val="18"/>
          <w:szCs w:val="18"/>
        </w:rPr>
        <w:t>(Exact name of registrant as specified in its charter)</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4399"/>
        <w:gridCol w:w="749"/>
        <w:gridCol w:w="4212"/>
      </w:tblGrid>
      <w:tr w:rsidR="00DC6B18" w:rsidRPr="00DC6B18" w:rsidTr="00DC6B18">
        <w:tc>
          <w:tcPr>
            <w:tcW w:w="2350" w:type="pct"/>
            <w:tcBorders>
              <w:bottom w:val="single" w:sz="8" w:space="0" w:color="000000"/>
            </w:tcBorders>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Nevada</w:t>
            </w:r>
          </w:p>
        </w:tc>
        <w:tc>
          <w:tcPr>
            <w:tcW w:w="4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2250" w:type="pct"/>
            <w:tcBorders>
              <w:bottom w:val="single" w:sz="8" w:space="0" w:color="000000"/>
            </w:tcBorders>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46-2510769</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rPr>
            </w:pPr>
            <w:r w:rsidRPr="00DC6B18">
              <w:rPr>
                <w:rFonts w:ascii="Times New Roman" w:eastAsia="Times New Roman" w:hAnsi="Times New Roman" w:cs="Times New Roman"/>
                <w:i/>
                <w:iCs/>
                <w:sz w:val="18"/>
                <w:szCs w:val="18"/>
              </w:rPr>
              <w:t>(State or other jurisdiction of</w:t>
            </w:r>
          </w:p>
        </w:tc>
        <w:tc>
          <w:tcPr>
            <w:tcW w:w="0" w:type="auto"/>
            <w:hideMark/>
          </w:tcPr>
          <w:p w:rsidR="00DC6B18" w:rsidRPr="00DC6B18" w:rsidRDefault="00DC6B18" w:rsidP="00DC6B18">
            <w:pPr>
              <w:spacing w:after="0" w:line="256" w:lineRule="auto"/>
              <w:rPr>
                <w:rFonts w:ascii="Calibri" w:eastAsia="Times New Roman" w:hAnsi="Calibri" w:cs="Times New Roman"/>
              </w:rPr>
            </w:pPr>
            <w:r w:rsidRPr="00DC6B18">
              <w:rPr>
                <w:rFonts w:ascii="Calibri" w:eastAsia="Times New Roman" w:hAnsi="Calibri" w:cs="Times New Roman"/>
              </w:rPr>
              <w:t> </w:t>
            </w:r>
          </w:p>
        </w:tc>
        <w:tc>
          <w:tcPr>
            <w:tcW w:w="0" w:type="auto"/>
            <w:hideMark/>
          </w:tcPr>
          <w:p w:rsidR="00DC6B18" w:rsidRPr="00DC6B18" w:rsidRDefault="00DC6B18" w:rsidP="00DC6B18">
            <w:pPr>
              <w:spacing w:after="0" w:line="256" w:lineRule="auto"/>
              <w:jc w:val="center"/>
              <w:rPr>
                <w:rFonts w:ascii="Calibri" w:eastAsia="Times New Roman" w:hAnsi="Calibri" w:cs="Times New Roman"/>
              </w:rPr>
            </w:pPr>
            <w:r w:rsidRPr="00DC6B18">
              <w:rPr>
                <w:rFonts w:ascii="Times New Roman" w:eastAsia="Times New Roman" w:hAnsi="Times New Roman" w:cs="Times New Roman"/>
                <w:i/>
                <w:iCs/>
                <w:sz w:val="18"/>
                <w:szCs w:val="18"/>
              </w:rPr>
              <w:t>(I.R.S. Empl. Ident. No.)</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rPr>
            </w:pPr>
            <w:r w:rsidRPr="00DC6B18">
              <w:rPr>
                <w:rFonts w:ascii="Times New Roman" w:eastAsia="Times New Roman" w:hAnsi="Times New Roman" w:cs="Times New Roman"/>
                <w:i/>
                <w:iCs/>
                <w:sz w:val="18"/>
                <w:szCs w:val="18"/>
              </w:rPr>
              <w:t>incorporation or organization)</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Times New Roman" w:eastAsia="Times New Roman" w:hAnsi="Times New Roman" w:cs="Times New Roman"/>
          <w:sz w:val="24"/>
          <w:szCs w:val="24"/>
        </w:rPr>
      </w:pPr>
      <w:r w:rsidRPr="00DC6B18">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685"/>
        <w:gridCol w:w="6084"/>
        <w:gridCol w:w="1591"/>
      </w:tblGrid>
      <w:tr w:rsidR="00DC6B18" w:rsidRPr="00DC6B18" w:rsidTr="00DC6B18">
        <w:tc>
          <w:tcPr>
            <w:tcW w:w="9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3250" w:type="pct"/>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100 Cummings Center, Suite 247-C</w:t>
            </w:r>
          </w:p>
        </w:tc>
        <w:tc>
          <w:tcPr>
            <w:tcW w:w="85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Beverly, MA 01915</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center"/>
              <w:rPr>
                <w:rFonts w:ascii="Calibri" w:eastAsia="Times New Roman" w:hAnsi="Calibri" w:cs="Times New Roman"/>
              </w:rPr>
            </w:pPr>
            <w:r w:rsidRPr="00DC6B18">
              <w:rPr>
                <w:rFonts w:ascii="Times New Roman" w:eastAsia="Times New Roman" w:hAnsi="Times New Roman" w:cs="Times New Roman"/>
                <w:i/>
                <w:iCs/>
                <w:sz w:val="18"/>
                <w:szCs w:val="18"/>
              </w:rPr>
              <w:t>(Address of principal executive offices, Zip Code)</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(305)-515-4118</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jc w:val="center"/>
              <w:rPr>
                <w:rFonts w:ascii="Calibri" w:eastAsia="Times New Roman" w:hAnsi="Calibri" w:cs="Times New Roman"/>
              </w:rPr>
            </w:pPr>
            <w:r w:rsidRPr="00DC6B18">
              <w:rPr>
                <w:rFonts w:ascii="Calibri" w:eastAsia="Times New Roman" w:hAnsi="Calibri" w:cs="Times New Roman"/>
              </w:rPr>
              <w:t> </w:t>
            </w:r>
          </w:p>
        </w:tc>
        <w:tc>
          <w:tcPr>
            <w:tcW w:w="0" w:type="auto"/>
            <w:vAlign w:val="bottom"/>
            <w:hideMark/>
          </w:tcPr>
          <w:p w:rsidR="00DC6B18" w:rsidRPr="00DC6B18" w:rsidRDefault="00DC6B18" w:rsidP="00DC6B18">
            <w:pPr>
              <w:spacing w:after="0" w:line="256" w:lineRule="auto"/>
              <w:jc w:val="center"/>
              <w:rPr>
                <w:rFonts w:ascii="Calibri" w:eastAsia="Times New Roman" w:hAnsi="Calibri" w:cs="Times New Roman"/>
              </w:rPr>
            </w:pPr>
            <w:r w:rsidRPr="00DC6B18">
              <w:rPr>
                <w:rFonts w:ascii="Times New Roman" w:eastAsia="Times New Roman" w:hAnsi="Times New Roman" w:cs="Times New Roman"/>
                <w:i/>
                <w:iCs/>
                <w:sz w:val="18"/>
                <w:szCs w:val="18"/>
              </w:rPr>
              <w:t>(Registrant’s telephone number, including area code)</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Securities registered pursuant to Section 12(g) of the Act:</w:t>
      </w:r>
    </w:p>
    <w:tbl>
      <w:tblPr>
        <w:tblW w:w="5760" w:type="dxa"/>
        <w:jc w:val="center"/>
        <w:tblCellMar>
          <w:left w:w="0" w:type="dxa"/>
          <w:right w:w="0" w:type="dxa"/>
        </w:tblCellMar>
        <w:tblLook w:val="04A0" w:firstRow="1" w:lastRow="0" w:firstColumn="1" w:lastColumn="0" w:noHBand="0" w:noVBand="1"/>
      </w:tblPr>
      <w:tblGrid>
        <w:gridCol w:w="2821"/>
        <w:gridCol w:w="51"/>
        <w:gridCol w:w="2888"/>
      </w:tblGrid>
      <w:tr w:rsidR="00DC6B18" w:rsidRPr="00DC6B18" w:rsidTr="00DC6B18">
        <w:trPr>
          <w:jc w:val="center"/>
        </w:trPr>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$.0001 par value common stock</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Over the Counter Bulletin Board</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Yes </w:t>
      </w:r>
      <w:r w:rsidRPr="00DC6B18">
        <w:rPr>
          <w:rFonts w:ascii="MS Mincho" w:eastAsia="MS Mincho" w:hAnsi="MS Mincho" w:cs="Times New Roman" w:hint="eastAsia"/>
          <w:sz w:val="20"/>
          <w:szCs w:val="20"/>
        </w:rPr>
        <w:t>☒</w:t>
      </w:r>
      <w:r w:rsidRPr="00DC6B18">
        <w:rPr>
          <w:rFonts w:ascii="Times New Roman" w:eastAsia="Times New Roman" w:hAnsi="Times New Roman" w:cs="Times New Roman"/>
          <w:sz w:val="20"/>
          <w:szCs w:val="20"/>
        </w:rPr>
        <w:t xml:space="preserve">                                          No </w:t>
      </w:r>
      <w:r w:rsidRPr="00DC6B18">
        <w:rPr>
          <w:rFonts w:ascii="MS Mincho" w:eastAsia="MS Mincho" w:hAnsi="MS Mincho" w:cs="Times New Roman" w:hint="eastAsia"/>
          <w:sz w:val="20"/>
          <w:szCs w:val="20"/>
        </w:rPr>
        <w:t>☐</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Yes </w:t>
      </w:r>
      <w:r w:rsidRPr="00DC6B18">
        <w:rPr>
          <w:rFonts w:ascii="MS Mincho" w:eastAsia="MS Mincho" w:hAnsi="MS Mincho" w:cs="Times New Roman" w:hint="eastAsia"/>
          <w:sz w:val="20"/>
          <w:szCs w:val="20"/>
        </w:rPr>
        <w:t>☒</w:t>
      </w:r>
      <w:r w:rsidRPr="00DC6B18">
        <w:rPr>
          <w:rFonts w:ascii="Times New Roman" w:eastAsia="Times New Roman" w:hAnsi="Times New Roman" w:cs="Times New Roman"/>
          <w:sz w:val="20"/>
          <w:szCs w:val="20"/>
        </w:rPr>
        <w:t xml:space="preserve">                                          No </w:t>
      </w:r>
      <w:r w:rsidRPr="00DC6B18">
        <w:rPr>
          <w:rFonts w:ascii="MS Mincho" w:eastAsia="MS Mincho" w:hAnsi="MS Mincho" w:cs="Times New Roman" w:hint="eastAsia"/>
          <w:sz w:val="20"/>
          <w:szCs w:val="20"/>
        </w:rPr>
        <w:t>☐</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3931"/>
        <w:gridCol w:w="936"/>
        <w:gridCol w:w="3557"/>
        <w:gridCol w:w="936"/>
      </w:tblGrid>
      <w:tr w:rsidR="00DC6B18" w:rsidRPr="00DC6B18" w:rsidTr="00DC6B18">
        <w:tc>
          <w:tcPr>
            <w:tcW w:w="21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Large Accelerated Filer</w:t>
            </w:r>
          </w:p>
        </w:tc>
        <w:tc>
          <w:tcPr>
            <w:tcW w:w="5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r w:rsidRPr="00DC6B18">
              <w:rPr>
                <w:rFonts w:ascii="MS Mincho" w:eastAsia="MS Mincho" w:hAnsi="MS Mincho" w:cs="Times New Roman" w:hint="eastAsia"/>
                <w:sz w:val="20"/>
                <w:szCs w:val="20"/>
              </w:rPr>
              <w:t>☐</w:t>
            </w:r>
          </w:p>
        </w:tc>
        <w:tc>
          <w:tcPr>
            <w:tcW w:w="1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Accelerated Filer</w:t>
            </w:r>
          </w:p>
        </w:tc>
        <w:tc>
          <w:tcPr>
            <w:tcW w:w="5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r w:rsidRPr="00DC6B18">
              <w:rPr>
                <w:rFonts w:ascii="MS Mincho" w:eastAsia="MS Mincho" w:hAnsi="MS Mincho" w:cs="Times New Roman" w:hint="eastAsia"/>
                <w:sz w:val="20"/>
                <w:szCs w:val="20"/>
              </w:rPr>
              <w: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Non-Accelerated Filer</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r w:rsidRPr="00DC6B18">
              <w:rPr>
                <w:rFonts w:ascii="MS Mincho" w:eastAsia="MS Mincho" w:hAnsi="MS Mincho" w:cs="Times New Roman" w:hint="eastAsia"/>
                <w:sz w:val="20"/>
                <w:szCs w:val="20"/>
              </w:rPr>
              <w:t>☐</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Smaller reporting company</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r w:rsidRPr="00DC6B18">
              <w:rPr>
                <w:rFonts w:ascii="MS Mincho" w:eastAsia="MS Mincho" w:hAnsi="MS Mincho" w:cs="Times New Roman" w:hint="eastAsia"/>
                <w:sz w:val="20"/>
                <w:szCs w:val="20"/>
              </w:rPr>
              <w:t>☒</w:t>
            </w:r>
          </w:p>
        </w:tc>
      </w:tr>
    </w:tbl>
    <w:p w:rsidR="00DC6B18" w:rsidRPr="00DC6B18" w:rsidRDefault="00DC6B18" w:rsidP="00DC6B18">
      <w:pPr>
        <w:spacing w:after="0" w:line="240" w:lineRule="auto"/>
        <w:rPr>
          <w:rFonts w:ascii="Times New Roman" w:eastAsia="Times New Roman" w:hAnsi="Times New Roman" w:cs="Times New Roman"/>
          <w:sz w:val="18"/>
          <w:szCs w:val="18"/>
        </w:rPr>
      </w:pPr>
      <w:r w:rsidRPr="00DC6B18">
        <w:rPr>
          <w:rFonts w:ascii="Times New Roman" w:eastAsia="Times New Roman" w:hAnsi="Times New Roman" w:cs="Times New Roman"/>
          <w:sz w:val="18"/>
          <w:szCs w:val="18"/>
        </w:rPr>
        <w:t>(Do not check if a smaller reporting company)</w:t>
      </w:r>
    </w:p>
    <w:p w:rsidR="00DC6B18" w:rsidRPr="00DC6B18" w:rsidRDefault="00DC6B18" w:rsidP="00DC6B18">
      <w:pPr>
        <w:spacing w:after="0" w:line="240" w:lineRule="auto"/>
        <w:ind w:firstLine="720"/>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Indicate by check mark whether the registrant is a shell company (as defined in Rule 12b-2 of the Exchange Act).</w:t>
      </w:r>
    </w:p>
    <w:p w:rsidR="00DC6B18" w:rsidRPr="00DC6B18" w:rsidRDefault="00DC6B18" w:rsidP="00DC6B18">
      <w:pPr>
        <w:spacing w:after="0" w:line="240"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Yes </w:t>
      </w:r>
      <w:r w:rsidRPr="00DC6B18">
        <w:rPr>
          <w:rFonts w:ascii="MS Mincho" w:eastAsia="MS Mincho" w:hAnsi="MS Mincho" w:cs="Times New Roman" w:hint="eastAsia"/>
          <w:sz w:val="20"/>
          <w:szCs w:val="20"/>
        </w:rPr>
        <w:t>☐</w:t>
      </w:r>
      <w:r w:rsidRPr="00DC6B18">
        <w:rPr>
          <w:rFonts w:ascii="Times New Roman" w:eastAsia="Times New Roman" w:hAnsi="Times New Roman" w:cs="Times New Roman"/>
          <w:sz w:val="20"/>
          <w:szCs w:val="20"/>
        </w:rPr>
        <w:t xml:space="preserve">                                          No </w:t>
      </w:r>
      <w:r w:rsidRPr="00DC6B18">
        <w:rPr>
          <w:rFonts w:ascii="MS Mincho" w:eastAsia="MS Mincho" w:hAnsi="MS Mincho" w:cs="Times New Roman" w:hint="eastAsia"/>
          <w:sz w:val="20"/>
          <w:szCs w:val="20"/>
        </w:rPr>
        <w:t>☒</w:t>
      </w:r>
    </w:p>
    <w:p w:rsidR="00DC6B18" w:rsidRPr="00DC6B18" w:rsidRDefault="00DC6B18" w:rsidP="00DC6B18">
      <w:pPr>
        <w:spacing w:after="0" w:line="240" w:lineRule="auto"/>
        <w:ind w:firstLine="720"/>
        <w:jc w:val="both"/>
        <w:rPr>
          <w:rFonts w:ascii="MS Mincho" w:eastAsia="MS Mincho" w:hAnsi="MS Mincho" w:cs="Times New Roman"/>
          <w:sz w:val="10"/>
          <w:szCs w:val="10"/>
        </w:rPr>
      </w:pPr>
      <w:r w:rsidRPr="00DC6B18">
        <w:rPr>
          <w:rFonts w:ascii="MS Mincho" w:eastAsia="MS Mincho" w:hAnsi="MS Mincho" w:cs="Times New Roman" w:hint="eastAsia"/>
          <w:sz w:val="10"/>
          <w:szCs w:val="10"/>
        </w:rPr>
        <w:t> </w:t>
      </w:r>
    </w:p>
    <w:p w:rsidR="00DC6B18" w:rsidRPr="00DC6B18" w:rsidRDefault="00DC6B18" w:rsidP="00DC6B18">
      <w:pPr>
        <w:spacing w:after="0" w:line="240" w:lineRule="auto"/>
        <w:jc w:val="both"/>
        <w:rPr>
          <w:rFonts w:ascii="Times New Roman" w:eastAsia="Times New Roman" w:hAnsi="Times New Roman" w:cs="Times New Roman" w:hint="eastAsia"/>
          <w:sz w:val="20"/>
          <w:szCs w:val="20"/>
        </w:rPr>
      </w:pPr>
      <w:r w:rsidRPr="00DC6B18">
        <w:rPr>
          <w:rFonts w:ascii="Times New Roman" w:eastAsia="Times New Roman" w:hAnsi="Times New Roman" w:cs="Times New Roman"/>
          <w:sz w:val="20"/>
          <w:szCs w:val="20"/>
        </w:rPr>
        <w:t>Indicate by check mark if the registrant is a well-known seasoned issuer, as defined in Rule 405 of the Securities Act. </w:t>
      </w:r>
    </w:p>
    <w:p w:rsidR="00DC6B18" w:rsidRPr="00DC6B18" w:rsidRDefault="00DC6B18" w:rsidP="00DC6B18">
      <w:pPr>
        <w:spacing w:after="0" w:line="240"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Yes </w:t>
      </w:r>
      <w:r w:rsidRPr="00DC6B18">
        <w:rPr>
          <w:rFonts w:ascii="MS Mincho" w:eastAsia="MS Mincho" w:hAnsi="MS Mincho" w:cs="Times New Roman" w:hint="eastAsia"/>
          <w:sz w:val="20"/>
          <w:szCs w:val="20"/>
        </w:rPr>
        <w:t>☐</w:t>
      </w:r>
      <w:r w:rsidRPr="00DC6B18">
        <w:rPr>
          <w:rFonts w:ascii="Times New Roman" w:eastAsia="Times New Roman" w:hAnsi="Times New Roman" w:cs="Times New Roman"/>
          <w:sz w:val="20"/>
          <w:szCs w:val="20"/>
        </w:rPr>
        <w:t xml:space="preserve">                                          No </w:t>
      </w:r>
      <w:r w:rsidRPr="00DC6B18">
        <w:rPr>
          <w:rFonts w:ascii="MS Mincho" w:eastAsia="MS Mincho" w:hAnsi="MS Mincho" w:cs="Times New Roman" w:hint="eastAsia"/>
          <w:sz w:val="20"/>
          <w:szCs w:val="20"/>
        </w:rPr>
        <w:t>☒</w:t>
      </w:r>
    </w:p>
    <w:p w:rsidR="00DC6B18" w:rsidRPr="00DC6B18" w:rsidRDefault="00DC6B18" w:rsidP="00DC6B18">
      <w:pPr>
        <w:spacing w:after="0" w:line="240" w:lineRule="auto"/>
        <w:ind w:firstLine="720"/>
        <w:jc w:val="both"/>
        <w:rPr>
          <w:rFonts w:ascii="MS Mincho" w:eastAsia="MS Mincho" w:hAnsi="MS Mincho" w:cs="Times New Roman"/>
          <w:sz w:val="10"/>
          <w:szCs w:val="10"/>
        </w:rPr>
      </w:pPr>
      <w:r w:rsidRPr="00DC6B18">
        <w:rPr>
          <w:rFonts w:ascii="MS Mincho" w:eastAsia="MS Mincho" w:hAnsi="MS Mincho" w:cs="Times New Roman" w:hint="eastAsia"/>
          <w:sz w:val="10"/>
          <w:szCs w:val="10"/>
        </w:rPr>
        <w:t> </w:t>
      </w:r>
    </w:p>
    <w:p w:rsidR="00DC6B18" w:rsidRPr="00DC6B18" w:rsidRDefault="00DC6B18" w:rsidP="00DC6B18">
      <w:pPr>
        <w:spacing w:after="0" w:line="240" w:lineRule="auto"/>
        <w:jc w:val="both"/>
        <w:rPr>
          <w:rFonts w:ascii="Times New Roman" w:eastAsia="Times New Roman" w:hAnsi="Times New Roman" w:cs="Times New Roman" w:hint="eastAsia"/>
          <w:sz w:val="20"/>
          <w:szCs w:val="20"/>
        </w:rPr>
      </w:pPr>
      <w:r w:rsidRPr="00DC6B18">
        <w:rPr>
          <w:rFonts w:ascii="Times New Roman" w:eastAsia="Times New Roman" w:hAnsi="Times New Roman" w:cs="Times New Roman"/>
          <w:sz w:val="20"/>
          <w:szCs w:val="20"/>
        </w:rPr>
        <w:t>Indicate by check mark if the registrant is not required to file reports pursuant to Section 13 or Section 15(d) of the Act </w:t>
      </w:r>
    </w:p>
    <w:p w:rsidR="00DC6B18" w:rsidRPr="00DC6B18" w:rsidRDefault="00DC6B18" w:rsidP="00DC6B18">
      <w:pPr>
        <w:spacing w:after="0" w:line="240"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Yes </w:t>
      </w:r>
      <w:r w:rsidRPr="00DC6B18">
        <w:rPr>
          <w:rFonts w:ascii="MS Mincho" w:eastAsia="MS Mincho" w:hAnsi="MS Mincho" w:cs="Times New Roman" w:hint="eastAsia"/>
          <w:sz w:val="20"/>
          <w:szCs w:val="20"/>
        </w:rPr>
        <w:t>☐</w:t>
      </w:r>
      <w:r w:rsidRPr="00DC6B18">
        <w:rPr>
          <w:rFonts w:ascii="Times New Roman" w:eastAsia="Times New Roman" w:hAnsi="Times New Roman" w:cs="Times New Roman"/>
          <w:sz w:val="20"/>
          <w:szCs w:val="20"/>
        </w:rPr>
        <w:t xml:space="preserve">                                          No </w:t>
      </w:r>
      <w:r w:rsidRPr="00DC6B18">
        <w:rPr>
          <w:rFonts w:ascii="MS Mincho" w:eastAsia="MS Mincho" w:hAnsi="MS Mincho" w:cs="Times New Roman" w:hint="eastAsia"/>
          <w:sz w:val="20"/>
          <w:szCs w:val="20"/>
        </w:rPr>
        <w:t>☒</w:t>
      </w:r>
    </w:p>
    <w:p w:rsidR="00DC6B18" w:rsidRPr="00DC6B18" w:rsidRDefault="00DC6B18" w:rsidP="00DC6B18">
      <w:pPr>
        <w:spacing w:after="0" w:line="240" w:lineRule="auto"/>
        <w:ind w:firstLine="720"/>
        <w:jc w:val="center"/>
        <w:rPr>
          <w:rFonts w:ascii="MS Mincho" w:eastAsia="MS Mincho" w:hAnsi="MS Mincho" w:cs="Times New Roman"/>
          <w:sz w:val="10"/>
          <w:szCs w:val="10"/>
        </w:rPr>
      </w:pPr>
      <w:r w:rsidRPr="00DC6B18">
        <w:rPr>
          <w:rFonts w:ascii="MS Mincho" w:eastAsia="MS Mincho" w:hAnsi="MS Mincho" w:cs="Times New Roman" w:hint="eastAsia"/>
          <w:sz w:val="10"/>
          <w:szCs w:val="10"/>
        </w:rPr>
        <w:t> </w:t>
      </w:r>
    </w:p>
    <w:p w:rsidR="00DC6B18" w:rsidRPr="00DC6B18" w:rsidRDefault="00DC6B18" w:rsidP="00DC6B18">
      <w:pPr>
        <w:spacing w:after="0" w:line="240" w:lineRule="auto"/>
        <w:jc w:val="both"/>
        <w:rPr>
          <w:rFonts w:ascii="Calibri" w:eastAsia="Times New Roman" w:hAnsi="Calibri" w:cs="Times New Roman" w:hint="eastAsia"/>
          <w:sz w:val="20"/>
          <w:szCs w:val="20"/>
        </w:rPr>
      </w:pPr>
      <w:r w:rsidRPr="00DC6B18">
        <w:rPr>
          <w:rFonts w:ascii="Times New Roman" w:eastAsia="Times New Roman" w:hAnsi="Times New Roman" w:cs="Times New Roman"/>
          <w:sz w:val="20"/>
          <w:szCs w:val="20"/>
        </w:rPr>
        <w:t xml:space="preserve">Indicate by check mark if disclosure of delinquent filers pursuant to Item 405 of Regulation S-K is not contained herein, and will not be contained, to the best of registrant’s knowledge, in definitive proxy or information statements incorporated by reference in Part III of this Form 10-K or any amendment to this Form 10-K. </w:t>
      </w:r>
      <w:r w:rsidRPr="00DC6B18">
        <w:rPr>
          <w:rFonts w:ascii="Segoe UI Symbol" w:eastAsia="Times New Roman" w:hAnsi="Segoe UI Symbol" w:cs="Times New Roman"/>
          <w:sz w:val="20"/>
          <w:szCs w:val="20"/>
        </w:rPr>
        <w:t>☒</w:t>
      </w:r>
    </w:p>
    <w:p w:rsidR="00DC6B18" w:rsidRPr="00DC6B18" w:rsidRDefault="00DC6B18" w:rsidP="00DC6B18">
      <w:pPr>
        <w:spacing w:after="0" w:line="240" w:lineRule="auto"/>
        <w:jc w:val="both"/>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Aggregate market value of the voting and non-voting common equity held by non-affiliates computed by reference to the price at which the common equity was last sold, or the average bid and asked price of such common equity, as of the last business day of the registrant’s most recently completed second fiscal quarter, December 31, 2014 was $8,706,000.</w:t>
      </w:r>
    </w:p>
    <w:p w:rsidR="00DC6B18" w:rsidRPr="00DC6B18" w:rsidRDefault="00DC6B18" w:rsidP="00DC6B18">
      <w:pPr>
        <w:spacing w:after="0" w:line="240" w:lineRule="auto"/>
        <w:ind w:firstLine="720"/>
        <w:jc w:val="both"/>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There were 87,210,000 shares of the Registrant’s $0.0001 par value common stock outstanding as of September 23, 2015.</w:t>
      </w:r>
    </w:p>
    <w:tbl>
      <w:tblPr>
        <w:tblW w:w="5000" w:type="pct"/>
        <w:tblCellMar>
          <w:left w:w="0" w:type="dxa"/>
          <w:right w:w="0" w:type="dxa"/>
        </w:tblCellMar>
        <w:tblLook w:val="04A0" w:firstRow="1" w:lastRow="0" w:firstColumn="1" w:lastColumn="0" w:noHBand="0" w:noVBand="1"/>
      </w:tblPr>
      <w:tblGrid>
        <w:gridCol w:w="9360"/>
      </w:tblGrid>
      <w:tr w:rsidR="00DC6B18" w:rsidRPr="00DC6B18" w:rsidTr="00DC6B18">
        <w:tc>
          <w:tcPr>
            <w:tcW w:w="5000" w:type="pct"/>
            <w:tcBorders>
              <w:bottom w:val="single" w:sz="8" w:space="0" w:color="000000"/>
            </w:tcBorders>
            <w:hideMark/>
          </w:tcPr>
          <w:p w:rsidR="00DC6B18" w:rsidRPr="00DC6B18" w:rsidRDefault="00DC6B18" w:rsidP="00DC6B18">
            <w:pPr>
              <w:spacing w:after="0" w:line="256" w:lineRule="auto"/>
              <w:jc w:val="center"/>
              <w:rPr>
                <w:rFonts w:ascii="Calibri" w:eastAsia="Times New Roman" w:hAnsi="Calibri" w:cs="Times New Roman"/>
                <w:sz w:val="8"/>
                <w:szCs w:val="8"/>
              </w:rPr>
            </w:pPr>
            <w:r w:rsidRPr="00DC6B18">
              <w:rPr>
                <w:rFonts w:ascii="Calibri" w:eastAsia="Times New Roman" w:hAnsi="Calibri" w:cs="Times New Roman"/>
                <w:sz w:val="8"/>
                <w:szCs w:val="8"/>
              </w:rPr>
              <w:t> </w:t>
            </w:r>
          </w:p>
        </w:tc>
      </w:tr>
      <w:tr w:rsidR="00DC6B18" w:rsidRPr="00DC6B18" w:rsidTr="00DC6B18">
        <w:tc>
          <w:tcPr>
            <w:tcW w:w="0" w:type="auto"/>
            <w:tcBorders>
              <w:bottom w:val="single" w:sz="24" w:space="0" w:color="000000"/>
            </w:tcBorders>
            <w:hideMark/>
          </w:tcPr>
          <w:p w:rsidR="00DC6B18" w:rsidRPr="00DC6B18" w:rsidRDefault="00DC6B18" w:rsidP="00DC6B18">
            <w:pPr>
              <w:spacing w:after="0" w:line="256" w:lineRule="auto"/>
              <w:jc w:val="center"/>
              <w:rPr>
                <w:rFonts w:ascii="Calibri" w:eastAsia="Times New Roman" w:hAnsi="Calibri" w:cs="Times New Roman"/>
                <w:sz w:val="8"/>
                <w:szCs w:val="8"/>
              </w:rPr>
            </w:pPr>
            <w:r w:rsidRPr="00DC6B18">
              <w:rPr>
                <w:rFonts w:ascii="Calibri" w:eastAsia="Times New Roman" w:hAnsi="Calibri" w:cs="Times New Roman"/>
                <w:sz w:val="8"/>
                <w:szCs w:val="8"/>
              </w:rPr>
              <w:t> </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DC6B18" w:rsidRPr="00DC6B18" w:rsidTr="00DC6B18">
        <w:tc>
          <w:tcPr>
            <w:tcW w:w="50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4"/>
                <w:szCs w:val="24"/>
              </w:rPr>
            </w:pPr>
            <w:r w:rsidRPr="00DC6B18">
              <w:rPr>
                <w:rFonts w:ascii="Times New Roman" w:eastAsia="Times New Roman" w:hAnsi="Times New Roman" w:cs="Times New Roman"/>
                <w:sz w:val="24"/>
                <w:szCs w:val="24"/>
              </w:rPr>
              <w:t> </w:t>
            </w:r>
          </w:p>
        </w:tc>
      </w:tr>
      <w:tr w:rsidR="00DC6B18" w:rsidRPr="00DC6B18" w:rsidTr="00DC6B18">
        <w:tc>
          <w:tcPr>
            <w:tcW w:w="50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4"/>
                <w:szCs w:val="24"/>
              </w:rPr>
            </w:pPr>
            <w:r w:rsidRPr="00DC6B18">
              <w:rPr>
                <w:rFonts w:ascii="Times New Roman" w:eastAsia="Times New Roman" w:hAnsi="Times New Roman" w:cs="Times New Roman"/>
                <w:sz w:val="24"/>
                <w:szCs w:val="24"/>
              </w:rPr>
              <w:t> </w:t>
            </w:r>
          </w:p>
        </w:tc>
      </w:tr>
    </w:tbl>
    <w:p w:rsidR="00DC6B18" w:rsidRPr="00DC6B18" w:rsidRDefault="00DC6B18" w:rsidP="00DC6B18">
      <w:pPr>
        <w:spacing w:after="0" w:line="240" w:lineRule="auto"/>
        <w:jc w:val="center"/>
        <w:rPr>
          <w:rFonts w:ascii="Times New Roman" w:eastAsia="Times New Roman" w:hAnsi="Times New Roman" w:cs="Times New Roman"/>
          <w:sz w:val="24"/>
          <w:szCs w:val="24"/>
        </w:rPr>
      </w:pPr>
      <w:r w:rsidRPr="00DC6B18">
        <w:rPr>
          <w:rFonts w:ascii="Times New Roman" w:eastAsia="Times New Roman" w:hAnsi="Times New Roman" w:cs="Times New Roman"/>
          <w:b/>
          <w:bCs/>
          <w:sz w:val="24"/>
          <w:szCs w:val="24"/>
        </w:rPr>
        <w:t>NANOANTIBIOTICS, INC.</w:t>
      </w:r>
    </w:p>
    <w:p w:rsidR="00DC6B18" w:rsidRPr="00DC6B18" w:rsidRDefault="00DC6B18" w:rsidP="00DC6B18">
      <w:pPr>
        <w:spacing w:after="0" w:line="240" w:lineRule="auto"/>
        <w:ind w:firstLine="720"/>
        <w:jc w:val="center"/>
        <w:rPr>
          <w:rFonts w:ascii="Times New Roman" w:eastAsia="Times New Roman" w:hAnsi="Times New Roman" w:cs="Times New Roman"/>
          <w:sz w:val="24"/>
          <w:szCs w:val="24"/>
        </w:rPr>
      </w:pPr>
      <w:r w:rsidRPr="00DC6B18">
        <w:rPr>
          <w:rFonts w:ascii="Times New Roman" w:eastAsia="Times New Roman" w:hAnsi="Times New Roman" w:cs="Times New Roman"/>
          <w:b/>
          <w:bCs/>
          <w:sz w:val="24"/>
          <w:szCs w:val="24"/>
        </w:rPr>
        <w:t> </w:t>
      </w:r>
    </w:p>
    <w:p w:rsidR="00DC6B18" w:rsidRPr="00DC6B18" w:rsidRDefault="00DC6B18" w:rsidP="00DC6B18">
      <w:pPr>
        <w:spacing w:after="0" w:line="240" w:lineRule="auto"/>
        <w:jc w:val="center"/>
        <w:rPr>
          <w:rFonts w:ascii="Times New Roman" w:eastAsia="Times New Roman" w:hAnsi="Times New Roman" w:cs="Times New Roman"/>
          <w:sz w:val="24"/>
          <w:szCs w:val="24"/>
        </w:rPr>
      </w:pPr>
      <w:bookmarkStart w:id="0" w:name="a_001"/>
      <w:bookmarkEnd w:id="0"/>
      <w:r w:rsidRPr="00DC6B18">
        <w:rPr>
          <w:rFonts w:ascii="Times New Roman" w:eastAsia="Times New Roman" w:hAnsi="Times New Roman" w:cs="Times New Roman"/>
          <w:b/>
          <w:bCs/>
          <w:sz w:val="24"/>
          <w:szCs w:val="24"/>
        </w:rPr>
        <w:t>FORM 10-K INDEX</w:t>
      </w:r>
    </w:p>
    <w:p w:rsidR="00DC6B18" w:rsidRPr="00DC6B18" w:rsidRDefault="00DC6B18" w:rsidP="00DC6B18">
      <w:pPr>
        <w:spacing w:after="0" w:line="240" w:lineRule="auto"/>
        <w:jc w:val="center"/>
        <w:rPr>
          <w:rFonts w:ascii="Times New Roman" w:eastAsia="Times New Roman" w:hAnsi="Times New Roman" w:cs="Times New Roman"/>
          <w:sz w:val="24"/>
          <w:szCs w:val="24"/>
        </w:rPr>
      </w:pPr>
      <w:r w:rsidRPr="00DC6B18">
        <w:rPr>
          <w:rFonts w:ascii="Times New Roman" w:eastAsia="Times New Roman" w:hAnsi="Times New Roman" w:cs="Times New Roman"/>
          <w:b/>
          <w:bCs/>
          <w:sz w:val="24"/>
          <w:szCs w:val="24"/>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xml:space="preserve">PART I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DC6B18" w:rsidRPr="00DC6B18" w:rsidTr="00DC6B18">
        <w:tc>
          <w:tcPr>
            <w:tcW w:w="550" w:type="pct"/>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w:t>
            </w:r>
          </w:p>
        </w:tc>
        <w:tc>
          <w:tcPr>
            <w:tcW w:w="4050" w:type="pct"/>
            <w:hideMark/>
          </w:tcPr>
          <w:p w:rsidR="00DC6B18" w:rsidRPr="00DC6B18" w:rsidRDefault="00DC6B18" w:rsidP="00DC6B18">
            <w:pPr>
              <w:spacing w:after="0" w:line="240" w:lineRule="auto"/>
              <w:rPr>
                <w:rFonts w:ascii="Calibri" w:eastAsia="Times New Roman" w:hAnsi="Calibri" w:cs="Times New Roman"/>
                <w:sz w:val="20"/>
                <w:szCs w:val="20"/>
              </w:rPr>
            </w:pPr>
            <w:hyperlink w:anchor="a_002" w:history="1">
              <w:r w:rsidRPr="00DC6B18">
                <w:rPr>
                  <w:rFonts w:ascii="Times New Roman" w:eastAsia="Times New Roman" w:hAnsi="Times New Roman" w:cs="Times New Roman"/>
                  <w:color w:val="0000FF"/>
                  <w:sz w:val="20"/>
                  <w:szCs w:val="20"/>
                  <w:u w:val="single"/>
                </w:rPr>
                <w:t>Description of Business</w:t>
              </w:r>
            </w:hyperlink>
          </w:p>
        </w:tc>
        <w:tc>
          <w:tcPr>
            <w:tcW w:w="400" w:type="pct"/>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1A.</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03" w:history="1">
              <w:r w:rsidRPr="00DC6B18">
                <w:rPr>
                  <w:rFonts w:ascii="Times New Roman" w:eastAsia="Times New Roman" w:hAnsi="Times New Roman" w:cs="Times New Roman"/>
                  <w:color w:val="0000FF"/>
                  <w:sz w:val="20"/>
                  <w:szCs w:val="20"/>
                  <w:u w:val="single"/>
                </w:rPr>
                <w:t>Risk Factors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13</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1B. </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04" w:history="1">
              <w:r w:rsidRPr="00DC6B18">
                <w:rPr>
                  <w:rFonts w:ascii="Times New Roman" w:eastAsia="Times New Roman" w:hAnsi="Times New Roman" w:cs="Times New Roman"/>
                  <w:color w:val="0000FF"/>
                  <w:sz w:val="20"/>
                  <w:szCs w:val="20"/>
                  <w:u w:val="single"/>
                </w:rPr>
                <w:t>Unresolved Staff Comments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25</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2.</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05" w:history="1">
              <w:r w:rsidRPr="00DC6B18">
                <w:rPr>
                  <w:rFonts w:ascii="Times New Roman" w:eastAsia="Times New Roman" w:hAnsi="Times New Roman" w:cs="Times New Roman"/>
                  <w:color w:val="0000FF"/>
                  <w:sz w:val="20"/>
                  <w:szCs w:val="20"/>
                  <w:u w:val="single"/>
                </w:rPr>
                <w:t>Description of Property</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25</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3.</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06" w:history="1">
              <w:r w:rsidRPr="00DC6B18">
                <w:rPr>
                  <w:rFonts w:ascii="Times New Roman" w:eastAsia="Times New Roman" w:hAnsi="Times New Roman" w:cs="Times New Roman"/>
                  <w:color w:val="0000FF"/>
                  <w:sz w:val="20"/>
                  <w:szCs w:val="20"/>
                  <w:u w:val="single"/>
                </w:rPr>
                <w:t>Legal Proceedings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25</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4.</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07" w:history="1">
              <w:r w:rsidRPr="00DC6B18">
                <w:rPr>
                  <w:rFonts w:ascii="Times New Roman" w:eastAsia="Times New Roman" w:hAnsi="Times New Roman" w:cs="Times New Roman"/>
                  <w:color w:val="0000FF"/>
                  <w:sz w:val="20"/>
                  <w:szCs w:val="20"/>
                  <w:u w:val="single"/>
                </w:rPr>
                <w:t>Mine Safety Disclosure</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25</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xml:space="preserve">PART II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DC6B18" w:rsidRPr="00DC6B18" w:rsidTr="00DC6B18">
        <w:tc>
          <w:tcPr>
            <w:tcW w:w="550" w:type="pct"/>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5.</w:t>
            </w:r>
          </w:p>
        </w:tc>
        <w:tc>
          <w:tcPr>
            <w:tcW w:w="4050" w:type="pct"/>
            <w:hideMark/>
          </w:tcPr>
          <w:p w:rsidR="00DC6B18" w:rsidRPr="00DC6B18" w:rsidRDefault="00DC6B18" w:rsidP="00DC6B18">
            <w:pPr>
              <w:spacing w:after="0" w:line="240" w:lineRule="auto"/>
              <w:rPr>
                <w:rFonts w:ascii="Calibri" w:eastAsia="Times New Roman" w:hAnsi="Calibri" w:cs="Times New Roman"/>
                <w:sz w:val="20"/>
                <w:szCs w:val="20"/>
              </w:rPr>
            </w:pPr>
            <w:hyperlink w:anchor="a_008" w:history="1">
              <w:r w:rsidRPr="00DC6B18">
                <w:rPr>
                  <w:rFonts w:ascii="Times New Roman" w:eastAsia="Times New Roman" w:hAnsi="Times New Roman" w:cs="Times New Roman"/>
                  <w:color w:val="0000FF"/>
                  <w:sz w:val="20"/>
                  <w:szCs w:val="20"/>
                  <w:u w:val="single"/>
                </w:rPr>
                <w:t>Market for Common Equity and Related Stockholder Matters</w:t>
              </w:r>
            </w:hyperlink>
          </w:p>
        </w:tc>
        <w:tc>
          <w:tcPr>
            <w:tcW w:w="400" w:type="pct"/>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25</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6.</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09" w:history="1">
              <w:r w:rsidRPr="00DC6B18">
                <w:rPr>
                  <w:rFonts w:ascii="Times New Roman" w:eastAsia="Times New Roman" w:hAnsi="Times New Roman" w:cs="Times New Roman"/>
                  <w:color w:val="0000FF"/>
                  <w:sz w:val="20"/>
                  <w:szCs w:val="20"/>
                  <w:u w:val="single"/>
                </w:rPr>
                <w:t>Selected Financial Data</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26</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7.</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0" w:history="1">
              <w:r w:rsidRPr="00DC6B18">
                <w:rPr>
                  <w:rFonts w:ascii="Times New Roman" w:eastAsia="Times New Roman" w:hAnsi="Times New Roman" w:cs="Times New Roman"/>
                  <w:color w:val="0000FF"/>
                  <w:sz w:val="20"/>
                  <w:szCs w:val="20"/>
                  <w:u w:val="single"/>
                </w:rPr>
                <w:t>Management’s Discussion and Analysis of Financial Condition and Results of Operations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26</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7A.</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1" w:history="1">
              <w:r w:rsidRPr="00DC6B18">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30</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8.</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2" w:history="1">
              <w:r w:rsidRPr="00DC6B18">
                <w:rPr>
                  <w:rFonts w:ascii="Times New Roman" w:eastAsia="Times New Roman" w:hAnsi="Times New Roman" w:cs="Times New Roman"/>
                  <w:color w:val="0000FF"/>
                  <w:sz w:val="20"/>
                  <w:szCs w:val="20"/>
                  <w:u w:val="single"/>
                </w:rPr>
                <w:t>Financial Statements and Supplementary Data</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31</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9.</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3" w:history="1">
              <w:r w:rsidRPr="00DC6B18">
                <w:rPr>
                  <w:rFonts w:ascii="Times New Roman" w:eastAsia="Times New Roman" w:hAnsi="Times New Roman" w:cs="Times New Roman"/>
                  <w:color w:val="0000FF"/>
                  <w:sz w:val="20"/>
                  <w:szCs w:val="20"/>
                  <w:u w:val="single"/>
                </w:rPr>
                <w:t>Changes in and Disagreements with Accountants on Accounting and Financial Disclosure</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42</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9A(T).</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4" w:history="1">
              <w:r w:rsidRPr="00DC6B18">
                <w:rPr>
                  <w:rFonts w:ascii="Times New Roman" w:eastAsia="Times New Roman" w:hAnsi="Times New Roman" w:cs="Times New Roman"/>
                  <w:color w:val="0000FF"/>
                  <w:sz w:val="20"/>
                  <w:szCs w:val="20"/>
                  <w:u w:val="single"/>
                </w:rPr>
                <w:t>Controls and Procedures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43</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9B.</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5" w:history="1">
              <w:r w:rsidRPr="00DC6B18">
                <w:rPr>
                  <w:rFonts w:ascii="Times New Roman" w:eastAsia="Times New Roman" w:hAnsi="Times New Roman" w:cs="Times New Roman"/>
                  <w:color w:val="0000FF"/>
                  <w:sz w:val="20"/>
                  <w:szCs w:val="20"/>
                  <w:u w:val="single"/>
                </w:rPr>
                <w:t>Other information</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43</w:t>
            </w:r>
          </w:p>
        </w:tc>
      </w:tr>
    </w:tbl>
    <w:p w:rsidR="00DC6B18" w:rsidRPr="00DC6B18" w:rsidRDefault="00DC6B18" w:rsidP="00DC6B18">
      <w:pPr>
        <w:spacing w:after="0" w:line="240" w:lineRule="auto"/>
        <w:rPr>
          <w:rFonts w:ascii="Times New Roman" w:eastAsia="Times New Roman" w:hAnsi="Times New Roman" w:cs="Times New Roman"/>
          <w:sz w:val="24"/>
          <w:szCs w:val="24"/>
        </w:rPr>
      </w:pPr>
      <w:r w:rsidRPr="00DC6B18">
        <w:rPr>
          <w:rFonts w:ascii="Times New Roman" w:eastAsia="Times New Roman" w:hAnsi="Times New Roman" w:cs="Times New Roman"/>
          <w:sz w:val="24"/>
          <w:szCs w:val="24"/>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xml:space="preserve">PART III </w:t>
      </w:r>
    </w:p>
    <w:p w:rsidR="00DC6B18" w:rsidRPr="00DC6B18" w:rsidRDefault="00DC6B18" w:rsidP="00DC6B18">
      <w:pPr>
        <w:spacing w:after="0" w:line="240" w:lineRule="auto"/>
        <w:rPr>
          <w:rFonts w:ascii="Times New Roman" w:eastAsia="Times New Roman" w:hAnsi="Times New Roman" w:cs="Times New Roman"/>
          <w:sz w:val="24"/>
          <w:szCs w:val="24"/>
        </w:rPr>
      </w:pPr>
      <w:r w:rsidRPr="00DC6B18">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DC6B18" w:rsidRPr="00DC6B18" w:rsidTr="00DC6B18">
        <w:tc>
          <w:tcPr>
            <w:tcW w:w="550" w:type="pct"/>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lastRenderedPageBreak/>
              <w:t>Item 10.</w:t>
            </w:r>
          </w:p>
        </w:tc>
        <w:tc>
          <w:tcPr>
            <w:tcW w:w="4050" w:type="pct"/>
            <w:hideMark/>
          </w:tcPr>
          <w:p w:rsidR="00DC6B18" w:rsidRPr="00DC6B18" w:rsidRDefault="00DC6B18" w:rsidP="00DC6B18">
            <w:pPr>
              <w:spacing w:after="0" w:line="240" w:lineRule="auto"/>
              <w:rPr>
                <w:rFonts w:ascii="Calibri" w:eastAsia="Times New Roman" w:hAnsi="Calibri" w:cs="Times New Roman"/>
                <w:sz w:val="20"/>
                <w:szCs w:val="20"/>
              </w:rPr>
            </w:pPr>
            <w:hyperlink w:anchor="a_016" w:history="1">
              <w:r w:rsidRPr="00DC6B18">
                <w:rPr>
                  <w:rFonts w:ascii="Times New Roman" w:eastAsia="Times New Roman" w:hAnsi="Times New Roman" w:cs="Times New Roman"/>
                  <w:color w:val="0000FF"/>
                  <w:sz w:val="20"/>
                  <w:szCs w:val="20"/>
                  <w:u w:val="single"/>
                </w:rPr>
                <w:t>Directors, Executive Officers and Corporate Governance</w:t>
              </w:r>
            </w:hyperlink>
          </w:p>
        </w:tc>
        <w:tc>
          <w:tcPr>
            <w:tcW w:w="400" w:type="pct"/>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43</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11.</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7" w:history="1">
              <w:r w:rsidRPr="00DC6B18">
                <w:rPr>
                  <w:rFonts w:ascii="Times New Roman" w:eastAsia="Times New Roman" w:hAnsi="Times New Roman" w:cs="Times New Roman"/>
                  <w:color w:val="0000FF"/>
                  <w:sz w:val="20"/>
                  <w:szCs w:val="20"/>
                  <w:u w:val="single"/>
                </w:rPr>
                <w:t>Executive Compensation</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45</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12.</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8" w:history="1">
              <w:r w:rsidRPr="00DC6B18">
                <w:rPr>
                  <w:rFonts w:ascii="Times New Roman" w:eastAsia="Times New Roman" w:hAnsi="Times New Roman" w:cs="Times New Roman"/>
                  <w:color w:val="0000FF"/>
                  <w:sz w:val="20"/>
                  <w:szCs w:val="20"/>
                  <w:u w:val="single"/>
                </w:rPr>
                <w:t>Security Ownership of Certain Beneficial Owners and Management and Related Stockholder Matters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46</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13.</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19" w:history="1">
              <w:r w:rsidRPr="00DC6B18">
                <w:rPr>
                  <w:rFonts w:ascii="Times New Roman" w:eastAsia="Times New Roman" w:hAnsi="Times New Roman" w:cs="Times New Roman"/>
                  <w:color w:val="0000FF"/>
                  <w:sz w:val="20"/>
                  <w:szCs w:val="20"/>
                  <w:u w:val="single"/>
                </w:rPr>
                <w:t>Certain Relationships and Related Transactions, and Director Independence</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48</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14.</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20" w:history="1">
              <w:r w:rsidRPr="00DC6B18">
                <w:rPr>
                  <w:rFonts w:ascii="Times New Roman" w:eastAsia="Times New Roman" w:hAnsi="Times New Roman" w:cs="Times New Roman"/>
                  <w:color w:val="0000FF"/>
                  <w:sz w:val="20"/>
                  <w:szCs w:val="20"/>
                  <w:u w:val="single"/>
                </w:rPr>
                <w:t>Principal Accountant Fees and Services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48</w:t>
            </w:r>
          </w:p>
        </w:tc>
      </w:tr>
    </w:tbl>
    <w:p w:rsidR="00DC6B18" w:rsidRPr="00DC6B18" w:rsidRDefault="00DC6B18" w:rsidP="00DC6B18">
      <w:pPr>
        <w:spacing w:after="0" w:line="240" w:lineRule="auto"/>
        <w:rPr>
          <w:rFonts w:ascii="Times New Roman" w:eastAsia="Times New Roman" w:hAnsi="Times New Roman" w:cs="Times New Roman"/>
          <w:sz w:val="16"/>
          <w:szCs w:val="16"/>
        </w:rPr>
      </w:pPr>
      <w:r w:rsidRPr="00DC6B18">
        <w:rPr>
          <w:rFonts w:ascii="Times New Roman" w:eastAsia="Times New Roman" w:hAnsi="Times New Roman" w:cs="Times New Roman"/>
          <w:sz w:val="16"/>
          <w:szCs w:val="16"/>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PART</w:t>
      </w:r>
      <w:r w:rsidRPr="00DC6B18">
        <w:rPr>
          <w:rFonts w:ascii="Times New Roman" w:eastAsia="Times New Roman" w:hAnsi="Times New Roman" w:cs="Times New Roman"/>
          <w:sz w:val="20"/>
          <w:szCs w:val="20"/>
        </w:rPr>
        <w:t xml:space="preserve"> </w:t>
      </w:r>
      <w:r w:rsidRPr="00DC6B18">
        <w:rPr>
          <w:rFonts w:ascii="Times New Roman" w:eastAsia="Times New Roman" w:hAnsi="Times New Roman" w:cs="Times New Roman"/>
          <w:b/>
          <w:bCs/>
          <w:sz w:val="20"/>
          <w:szCs w:val="20"/>
        </w:rPr>
        <w:t>IV</w:t>
      </w:r>
    </w:p>
    <w:p w:rsidR="00DC6B18" w:rsidRPr="00DC6B18" w:rsidRDefault="00DC6B18" w:rsidP="00DC6B18">
      <w:pPr>
        <w:spacing w:after="0" w:line="240" w:lineRule="auto"/>
        <w:rPr>
          <w:rFonts w:ascii="Times New Roman" w:eastAsia="Times New Roman" w:hAnsi="Times New Roman" w:cs="Times New Roman"/>
          <w:sz w:val="16"/>
          <w:szCs w:val="16"/>
        </w:rPr>
      </w:pPr>
      <w:r w:rsidRPr="00DC6B18">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DC6B18" w:rsidRPr="00DC6B18" w:rsidTr="00DC6B18">
        <w:tc>
          <w:tcPr>
            <w:tcW w:w="550" w:type="pct"/>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Item 15.</w:t>
            </w:r>
          </w:p>
        </w:tc>
        <w:tc>
          <w:tcPr>
            <w:tcW w:w="4050" w:type="pct"/>
            <w:hideMark/>
          </w:tcPr>
          <w:p w:rsidR="00DC6B18" w:rsidRPr="00DC6B18" w:rsidRDefault="00DC6B18" w:rsidP="00DC6B18">
            <w:pPr>
              <w:spacing w:after="0" w:line="240" w:lineRule="auto"/>
              <w:rPr>
                <w:rFonts w:ascii="Calibri" w:eastAsia="Times New Roman" w:hAnsi="Calibri" w:cs="Times New Roman"/>
                <w:sz w:val="20"/>
                <w:szCs w:val="20"/>
              </w:rPr>
            </w:pPr>
            <w:hyperlink w:anchor="a_021" w:history="1">
              <w:r w:rsidRPr="00DC6B18">
                <w:rPr>
                  <w:rFonts w:ascii="Times New Roman" w:eastAsia="Times New Roman" w:hAnsi="Times New Roman" w:cs="Times New Roman"/>
                  <w:color w:val="0000FF"/>
                  <w:sz w:val="20"/>
                  <w:szCs w:val="20"/>
                  <w:u w:val="single"/>
                </w:rPr>
                <w:t>Exhibits and Financial Statement Schedules</w:t>
              </w:r>
            </w:hyperlink>
          </w:p>
        </w:tc>
        <w:tc>
          <w:tcPr>
            <w:tcW w:w="400" w:type="pct"/>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48</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hyperlink w:anchor="a_022" w:history="1">
              <w:r w:rsidRPr="00DC6B18">
                <w:rPr>
                  <w:rFonts w:ascii="Times New Roman" w:eastAsia="Times New Roman" w:hAnsi="Times New Roman" w:cs="Times New Roman"/>
                  <w:color w:val="0000FF"/>
                  <w:sz w:val="20"/>
                  <w:szCs w:val="20"/>
                  <w:u w:val="single"/>
                </w:rPr>
                <w:t>Signatures</w:t>
              </w:r>
            </w:hyperlink>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49</w:t>
            </w:r>
          </w:p>
        </w:tc>
      </w:tr>
      <w:tr w:rsidR="00DC6B18" w:rsidRPr="00DC6B18" w:rsidTr="00DC6B18">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40"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Certifications</w:t>
            </w:r>
          </w:p>
        </w:tc>
        <w:tc>
          <w:tcPr>
            <w:tcW w:w="0" w:type="auto"/>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16"/>
          <w:szCs w:val="16"/>
        </w:rPr>
      </w:pPr>
      <w:r w:rsidRPr="00DC6B18">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This Annual Report on Form 10-K and the documents incorporated herein by reference contain forward-looking statements that have been made pursuant to the provisions of the Private Securities Litigation Reform Act of 1995. Such forward-looking statements are based on current expectations, estimates and projections about Turbine Truck Engines Inc.’s industry, management beliefs, and assumptions made by management. Words such as “anticipates,” “expects,” “intends,” “plans,” “believes,” “seeks,” “estimates,” variations of such words and similar expressions are intended to identify such forward-looking statements. These statements are not guarantees of future performance and are subject to certain risks, uncertainties and assumptions that are difficult to predict; therefore, actual results and outcomes may differ materially from what is expressed or forecasted in any such forward-looking statements.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24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PART I</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 w:name="a_002"/>
      <w:bookmarkEnd w:id="1"/>
      <w:r w:rsidRPr="00DC6B18">
        <w:rPr>
          <w:rFonts w:ascii="Times New Roman" w:eastAsia="Times New Roman" w:hAnsi="Times New Roman" w:cs="Times New Roman"/>
          <w:b/>
          <w:bCs/>
          <w:sz w:val="20"/>
          <w:szCs w:val="20"/>
        </w:rPr>
        <w:t>ITEM 1.</w:t>
      </w:r>
      <w:r w:rsidRPr="00DC6B18">
        <w:rPr>
          <w:rFonts w:ascii="Times New Roman" w:eastAsia="Times New Roman" w:hAnsi="Times New Roman" w:cs="Times New Roman"/>
          <w:b/>
          <w:bCs/>
          <w:sz w:val="20"/>
          <w:szCs w:val="20"/>
        </w:rPr>
        <w:tab/>
        <w:t>DESCRIPTION OF BUSINESS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Introduction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NanoAntibiotics, Inc. (the “Company”) is a development stage enterprise that was incorporated in the state of Nevada on April 10, 2013.  To date, the Company’s activities have been limited to raising capital, organizational matters, and the structuring of its business plan.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Our pharmaceutical compounds originated at Kard Scientific, Inc. (“Kard”), a preclinical contract research organization founded by our President Rajah Menon in 2002 and of which Mr. Menon is its principal shareholder. These compounds were composed and formulated by researchers at Kard who then conducted in-vitro studies. On October 3, 2013, Kard and Mr. Menon assigned all of their rights, formulations, and all studies and data related to efflux pump antibiotics to the Company. The candidates have only been studied in cell-based assays (in-vitro), but have not been studied in small animals (in-vivo) or animals with drug resistant bacteria for efficacy, efficiency and toxicity. </w:t>
      </w:r>
      <w:r w:rsidRPr="00DC6B18">
        <w:rPr>
          <w:rFonts w:ascii="Times New Roman" w:eastAsia="Times New Roman" w:hAnsi="Times New Roman" w:cs="Times New Roman"/>
          <w:color w:val="222222"/>
          <w:sz w:val="20"/>
          <w:szCs w:val="20"/>
          <w:shd w:val="clear" w:color="auto" w:fill="FFFFFF"/>
        </w:rPr>
        <w:t xml:space="preserve"> </w:t>
      </w:r>
      <w:r w:rsidRPr="00DC6B18">
        <w:rPr>
          <w:rFonts w:ascii="Times New Roman" w:eastAsia="Times New Roman" w:hAnsi="Times New Roman" w:cs="Times New Roman"/>
          <w:sz w:val="20"/>
          <w:szCs w:val="20"/>
        </w:rPr>
        <w:t xml:space="preserve">We need to license additional technology to complete our planned products. </w:t>
      </w:r>
      <w:r w:rsidRPr="00DC6B18">
        <w:rPr>
          <w:rFonts w:ascii="Times New Roman" w:eastAsia="Times New Roman" w:hAnsi="Times New Roman" w:cs="Times New Roman"/>
          <w:color w:val="222222"/>
          <w:sz w:val="20"/>
          <w:szCs w:val="20"/>
          <w:shd w:val="clear" w:color="auto" w:fill="FFFFFF"/>
        </w:rPr>
        <w:t xml:space="preserve">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 </w:t>
      </w:r>
      <w:r w:rsidRPr="00DC6B18">
        <w:rPr>
          <w:rFonts w:ascii="Times New Roman" w:eastAsia="Times New Roman" w:hAnsi="Times New Roman" w:cs="Times New Roman"/>
          <w:sz w:val="20"/>
          <w:szCs w:val="20"/>
        </w:rPr>
        <w:t>The Company intends to file patent applications for each of our candidates as studies advance and funds become available.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The Company’s activities are subject to significant risks and uncertainties including failure to secure additional funding to properly execute the company’s business plan.</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The Need for New Broad Range Antibiotics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According to a June 2014 market research report by BCC Research, entitled “ANTIBIOTICS: TECHNOLOGIES AND GLOBAL MARKETS”, the global market for antibiotics is forecast to reach US $41.2 billion by 2018, propelled due to the increasing aging population, increasing GDP rate and increasing awareness about healthcare.</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Antibiotic resistance is a serious problem globally. New antibiotics to tackle resistant bacteria are urgently needed; however, a recent report from the European Centre for Disease Prevention and Control and the European Medicines Agency (EMA) warns of an almost empty pipeline, leaving patients vulnerable to dangerous infections. If new antibiotics are not developed, the entire healthcare industry could face challenges not seen since the pre-bacteria era. Public-private partnerships are encouraging specific programs that will address these needs; in certain regions, government agencies are working with the pharmaceutical industry to provide support to the declining antibiotic pipeline (source: BCC Research).</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About Bacteria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Gram stain test, developed in the 1800s by Hans Christian Gram, is a method for classifying different types of bacteria using a chemical stain and viewing through a microscope the results on the bacteria’s protective cell wall. Most bacteria are classified into two groups: Gram-positive or Gram-negative, depending on whether they retain a specific stain color.  Gram-positive bacteria retain a purple-colored stain in their thick cell walls, while Gram-negative bacteria appear pinkish or red.</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Gram-positive bacteria normally found on the skin, such as </w:t>
      </w:r>
      <w:r w:rsidRPr="00DC6B18">
        <w:rPr>
          <w:rFonts w:ascii="Times New Roman" w:eastAsia="Times New Roman" w:hAnsi="Times New Roman" w:cs="Times New Roman"/>
          <w:i/>
          <w:iCs/>
          <w:sz w:val="20"/>
          <w:szCs w:val="20"/>
        </w:rPr>
        <w:t>Staphylococcus epidermidis</w:t>
      </w:r>
      <w:r w:rsidRPr="00DC6B18">
        <w:rPr>
          <w:rFonts w:ascii="Times New Roman" w:eastAsia="Times New Roman" w:hAnsi="Times New Roman" w:cs="Times New Roman"/>
          <w:sz w:val="20"/>
          <w:szCs w:val="20"/>
        </w:rPr>
        <w:t xml:space="preserve"> or</w:t>
      </w:r>
      <w:r w:rsidRPr="00DC6B18">
        <w:rPr>
          <w:rFonts w:ascii="Times New Roman" w:eastAsia="Times New Roman" w:hAnsi="Times New Roman" w:cs="Times New Roman"/>
          <w:i/>
          <w:iCs/>
          <w:sz w:val="20"/>
          <w:szCs w:val="20"/>
        </w:rPr>
        <w:t xml:space="preserve"> Staphylococcus aureus</w:t>
      </w:r>
      <w:r w:rsidRPr="00DC6B18">
        <w:rPr>
          <w:rFonts w:ascii="Times New Roman" w:eastAsia="Times New Roman" w:hAnsi="Times New Roman" w:cs="Times New Roman"/>
          <w:sz w:val="20"/>
          <w:szCs w:val="20"/>
        </w:rPr>
        <w:t xml:space="preserve">, are the most common bacterial contaminants of blood products. This type of contamination is thought to occur when the bacteria on the skin is passed into the collected blood through the collection needle. Gram-negative bacteria can cause infections including pneumonia, bloodstream infections, wound or surgical site infections, and meningitis. Examples include </w:t>
      </w:r>
      <w:r w:rsidRPr="00DC6B18">
        <w:rPr>
          <w:rFonts w:ascii="Times New Roman" w:eastAsia="Times New Roman" w:hAnsi="Times New Roman" w:cs="Times New Roman"/>
          <w:i/>
          <w:iCs/>
          <w:sz w:val="20"/>
          <w:szCs w:val="20"/>
        </w:rPr>
        <w:t>Acineobacter, Klebsiella</w:t>
      </w:r>
      <w:r w:rsidRPr="00DC6B18">
        <w:rPr>
          <w:rFonts w:ascii="Times New Roman" w:eastAsia="Times New Roman" w:hAnsi="Times New Roman" w:cs="Times New Roman"/>
          <w:sz w:val="20"/>
          <w:szCs w:val="20"/>
        </w:rPr>
        <w:t xml:space="preserve">, and </w:t>
      </w:r>
      <w:r w:rsidRPr="00DC6B18">
        <w:rPr>
          <w:rFonts w:ascii="Times New Roman" w:eastAsia="Times New Roman" w:hAnsi="Times New Roman" w:cs="Times New Roman"/>
          <w:i/>
          <w:iCs/>
          <w:sz w:val="20"/>
          <w:szCs w:val="20"/>
        </w:rPr>
        <w:t>Escherichia coli (E.coli</w:t>
      </w:r>
      <w:r w:rsidRPr="00DC6B18">
        <w:rPr>
          <w:rFonts w:ascii="Times New Roman" w:eastAsia="Times New Roman" w:hAnsi="Times New Roman" w:cs="Times New Roman"/>
          <w:sz w:val="20"/>
          <w:szCs w:val="20"/>
        </w:rPr>
        <w:t xml:space="preserve">). Gram-negative bacteria are resistant to multiple drugs and are increasingly resistant to most available antibiotics. Bacteria, such as </w:t>
      </w:r>
      <w:r w:rsidRPr="00DC6B18">
        <w:rPr>
          <w:rFonts w:ascii="Times New Roman" w:eastAsia="Times New Roman" w:hAnsi="Times New Roman" w:cs="Times New Roman"/>
          <w:i/>
          <w:iCs/>
          <w:sz w:val="20"/>
          <w:szCs w:val="20"/>
        </w:rPr>
        <w:t xml:space="preserve">E. coli, </w:t>
      </w:r>
      <w:r w:rsidRPr="00DC6B18">
        <w:rPr>
          <w:rFonts w:ascii="Times New Roman" w:eastAsia="Times New Roman" w:hAnsi="Times New Roman" w:cs="Times New Roman"/>
          <w:sz w:val="20"/>
          <w:szCs w:val="20"/>
        </w:rPr>
        <w:t>may contaminate the donation when blood is collected from donors who have bacterial infection without symptoms (source: Center for Disease Control and Prevention article entitled “Blood Safety”, 2013).</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Antibiotics and Drug Resistance</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An antibiotic is given for the treatment of an infection caused by bacteria. The discovery of penicillin in 1928 was followed by the discovery and commercial production of many other antibiotics. We now take for granted that any infectious disease is curable by antibiotic therapy. Antibiotics are manufactured at an estimated scale of about 100,000 tons annually worldwide, and their use had a profound impact on the life of bacteria on earth. More strains of pathogens have become antibiotic resistant, and some have become resistant to many antibiotics and chemotherapeutic agents, the phenomenon of multidrug resistance (source: Nikaido, H., “Multidrug Resistance in Bacteria” in Annual Review of Biochemistry, 2009, or Nikaido 2009).</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Mechanisms of Drug Resistance</w:t>
      </w:r>
      <w:r w:rsidRPr="00DC6B18">
        <w:rPr>
          <w:rFonts w:ascii="Times New Roman" w:eastAsia="Times New Roman" w:hAnsi="Times New Roman" w:cs="Times New Roman"/>
          <w:color w:val="C00000"/>
          <w:sz w:val="20"/>
          <w:szCs w:val="20"/>
        </w:rPr>
        <w:t xml:space="preserve">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Mutation of Target Protein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Bacteria can become resistant through mutations that make the target protein less susceptible to the agent. High-level production of drug-resistant target enzymes from plasmids can make the bacteria resistant, and the resistant genes spread on plasmids. </w:t>
      </w:r>
      <w:r w:rsidRPr="00DC6B18">
        <w:rPr>
          <w:rFonts w:ascii="Times New Roman" w:eastAsia="Times New Roman" w:hAnsi="Times New Roman" w:cs="Times New Roman"/>
          <w:color w:val="333333"/>
          <w:sz w:val="20"/>
          <w:szCs w:val="20"/>
          <w:shd w:val="clear" w:color="auto" w:fill="FFFFFF"/>
        </w:rPr>
        <w:t>A plasmid is a small, circular, double-stranded DNA molecule that is distinct from a cell's chromosomal DNA and naturally exists in bacterial cells</w:t>
      </w:r>
      <w:r w:rsidRPr="00DC6B18">
        <w:rPr>
          <w:rFonts w:ascii="Times New Roman" w:eastAsia="Times New Roman" w:hAnsi="Times New Roman" w:cs="Times New Roman"/>
          <w:sz w:val="20"/>
          <w:szCs w:val="20"/>
        </w:rPr>
        <w:t xml:space="preserve"> (source: Nikaido 2009).</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Most drug resistance genes are effective when expressed from plasmids. Often, many genes are present on a single plasmid, so that multidrug resistance can be transferred to a bacterium in a single conjugation event. Resistance plasmids are not only stably maintained, but also transferred between bacterial cells at a very high efficiency, in many cases approaching 100% (source: Nikaido 2009).</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Bypassing the Target</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Vancomycin, </w:t>
      </w:r>
      <w:r w:rsidRPr="00DC6B18">
        <w:rPr>
          <w:rFonts w:ascii="Times New Roman" w:eastAsia="Times New Roman" w:hAnsi="Times New Roman" w:cs="Times New Roman"/>
          <w:sz w:val="20"/>
          <w:szCs w:val="20"/>
          <w:shd w:val="clear" w:color="auto" w:fill="FFFFFF"/>
        </w:rPr>
        <w:t>a</w:t>
      </w:r>
      <w:r w:rsidRPr="00DC6B18">
        <w:rPr>
          <w:rFonts w:ascii="Times New Roman" w:eastAsia="Times New Roman" w:hAnsi="Times New Roman" w:cs="Times New Roman"/>
          <w:sz w:val="20"/>
          <w:szCs w:val="20"/>
        </w:rPr>
        <w:t>n antibiotic</w:t>
      </w:r>
      <w:r w:rsidRPr="00DC6B18">
        <w:rPr>
          <w:rFonts w:ascii="Times New Roman" w:eastAsia="Times New Roman" w:hAnsi="Times New Roman" w:cs="Times New Roman"/>
          <w:sz w:val="20"/>
          <w:szCs w:val="20"/>
          <w:shd w:val="clear" w:color="auto" w:fill="FFFFFF"/>
        </w:rPr>
        <w:t> used in the treatment of infections caused by Gram-positive bacteria</w:t>
      </w:r>
      <w:r w:rsidRPr="00DC6B18">
        <w:rPr>
          <w:rFonts w:ascii="Times New Roman" w:eastAsia="Times New Roman" w:hAnsi="Times New Roman" w:cs="Times New Roman"/>
          <w:sz w:val="20"/>
          <w:szCs w:val="20"/>
        </w:rPr>
        <w:t>, has an unusual mode of action. Instead of inhibiting an enzyme, it binds to a substrate, a precursor of the cell wall.. Because of this mechanism, it was assumed that it would be impossible to generate resistance against vancomycin. However, vancomycin resistance is now prevalent among certain bacteria normally present in the intestinal tract (source: Nikaido 2009).</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Bacterial Efflux Pumps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 Gram-negative bacteria, access can be generally reduced by decreasing the influx across the outer membrane barrier. Drug access to the target can be reduced by active efflux processes. Drug-specific efflux pumps produce drug resistance by active efflux of a specific drug. Multi-drug efflux pumps produce resistance to multiple bacteria-cides and were causing hospital-acquired bacterial (</w:t>
      </w:r>
      <w:r w:rsidRPr="00DC6B18">
        <w:rPr>
          <w:rFonts w:ascii="Times New Roman" w:eastAsia="Times New Roman" w:hAnsi="Times New Roman" w:cs="Times New Roman"/>
          <w:i/>
          <w:iCs/>
          <w:sz w:val="20"/>
          <w:szCs w:val="20"/>
        </w:rPr>
        <w:t xml:space="preserve">S. aureus) </w:t>
      </w:r>
      <w:r w:rsidRPr="00DC6B18">
        <w:rPr>
          <w:rFonts w:ascii="Times New Roman" w:eastAsia="Times New Roman" w:hAnsi="Times New Roman" w:cs="Times New Roman"/>
          <w:sz w:val="20"/>
          <w:szCs w:val="20"/>
        </w:rPr>
        <w:t>infections (source: Nikaido 2009).</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Major Targets of our Candidates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following paragraphs summarize the major targets of our candidates: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Methicillin-Resistant Staphylococcus Aureus (MRSA)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Methicillin-resistant Staphylococcus aureus (MRSA) is resistant not only to methicillin (which was developed to fight against penicillinase-producing </w:t>
      </w:r>
      <w:r w:rsidRPr="00DC6B18">
        <w:rPr>
          <w:rFonts w:ascii="Times New Roman" w:eastAsia="Times New Roman" w:hAnsi="Times New Roman" w:cs="Times New Roman"/>
          <w:i/>
          <w:iCs/>
          <w:sz w:val="20"/>
          <w:szCs w:val="20"/>
        </w:rPr>
        <w:t>S. aureus</w:t>
      </w:r>
      <w:r w:rsidRPr="00DC6B18">
        <w:rPr>
          <w:rFonts w:ascii="Times New Roman" w:eastAsia="Times New Roman" w:hAnsi="Times New Roman" w:cs="Times New Roman"/>
          <w:sz w:val="20"/>
          <w:szCs w:val="20"/>
        </w:rPr>
        <w:t xml:space="preserve">) but also to many antibiotics (such as aminoglycosides, macrolides, tetracycline, chloramphenicol, and lincosamides). Such strains are also resistant to disinfectants. MRSA can be a major source of hospital-acquired infections. An old antibiotic, vancomycin, was resurrected for treatment of MRSA infections. However, transferable resistance to vancomycin is now quite common in </w:t>
      </w:r>
      <w:r w:rsidRPr="00DC6B18">
        <w:rPr>
          <w:rFonts w:ascii="Times New Roman" w:eastAsia="Times New Roman" w:hAnsi="Times New Roman" w:cs="Times New Roman"/>
          <w:i/>
          <w:iCs/>
          <w:sz w:val="20"/>
          <w:szCs w:val="20"/>
        </w:rPr>
        <w:t>Enterococcus</w:t>
      </w:r>
      <w:r w:rsidRPr="00DC6B18">
        <w:rPr>
          <w:rFonts w:ascii="Times New Roman" w:eastAsia="Times New Roman" w:hAnsi="Times New Roman" w:cs="Times New Roman"/>
          <w:sz w:val="20"/>
          <w:szCs w:val="20"/>
        </w:rPr>
        <w:t xml:space="preserve"> and found its way to MRSA in 2002, although such strains are still rare. An even more serious threat may be the emergence of Gram-negative pathogens that are resistant to essentially all of the available agents. Research had time to react against the threat by MRSA. Thus, there are newly developed antibiotic agents that are active against vancomycin-resistant MRSA, such as linezolid and quinupristin/dalfopristin (source: Nikaido 2009).</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Drug-Resistant Tuberculosis (MDR-TB and XDR-TB)</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color w:val="231F20"/>
          <w:sz w:val="20"/>
          <w:szCs w:val="20"/>
        </w:rPr>
        <w:t>With 1.4 million deaths in 2011 resulting from tuberculosis (TB), a</w:t>
      </w:r>
      <w:r w:rsidRPr="00DC6B18">
        <w:rPr>
          <w:rFonts w:ascii="Times New Roman" w:eastAsia="Times New Roman" w:hAnsi="Times New Roman" w:cs="Times New Roman"/>
          <w:sz w:val="20"/>
          <w:szCs w:val="20"/>
        </w:rPr>
        <w:t xml:space="preserve"> chronic disease resulting from infection with a slow-growing pathogen, </w:t>
      </w:r>
      <w:r w:rsidRPr="00DC6B18">
        <w:rPr>
          <w:rFonts w:ascii="Times New Roman" w:eastAsia="Times New Roman" w:hAnsi="Times New Roman" w:cs="Times New Roman"/>
          <w:i/>
          <w:iCs/>
          <w:sz w:val="20"/>
          <w:szCs w:val="20"/>
        </w:rPr>
        <w:t>Mycobacterium tuberculosis,</w:t>
      </w:r>
      <w:r w:rsidRPr="00DC6B18">
        <w:rPr>
          <w:rFonts w:ascii="Times New Roman" w:eastAsia="Times New Roman" w:hAnsi="Times New Roman" w:cs="Times New Roman"/>
          <w:sz w:val="20"/>
          <w:szCs w:val="20"/>
        </w:rPr>
        <w:t xml:space="preserve"> </w:t>
      </w:r>
      <w:r w:rsidRPr="00DC6B18">
        <w:rPr>
          <w:rFonts w:ascii="Times New Roman" w:eastAsia="Times New Roman" w:hAnsi="Times New Roman" w:cs="Times New Roman"/>
          <w:color w:val="231F20"/>
          <w:sz w:val="20"/>
          <w:szCs w:val="20"/>
        </w:rPr>
        <w:t>the disease competes with the human immunodeficiency virus (HIV) as the top cause of death from an infectious agent. Following neglect of the disease during the 1980s the recognition of its substantial burden has kept TB control high on the international public health agenda since the early 1990s. The dramatic effect of the HIV epidemic on numbers of TB cases and deaths in Africa, evidence that short-course chemotherapy is among the most cost-effective of all healthcare interventions, and most recently the global concerns about the emergence of multidrug-resistant TB (MDR-TB) and extensively drug resistant TB (XDR-TB) have emphasized the need to address TB more effectively on a global scale (source: Glaziou, P., Floyd, K, Raviglione, M., “Global Burden and Epidemiology of Tuberculosis” in Clinics in Chest Medicine, 2009).</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Drug-resistant Enterococcus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xml:space="preserve">Enterococcus </w:t>
      </w:r>
      <w:r w:rsidRPr="00DC6B18">
        <w:rPr>
          <w:rFonts w:ascii="Times New Roman" w:eastAsia="Times New Roman" w:hAnsi="Times New Roman" w:cs="Times New Roman"/>
          <w:sz w:val="20"/>
          <w:szCs w:val="20"/>
        </w:rPr>
        <w:t xml:space="preserve">are normal inhabitants of the gastrointestinal tract of humans and animals. Two species cause the most enterococcal infections: </w:t>
      </w:r>
      <w:r w:rsidRPr="00DC6B18">
        <w:rPr>
          <w:rFonts w:ascii="Times New Roman" w:eastAsia="Times New Roman" w:hAnsi="Times New Roman" w:cs="Times New Roman"/>
          <w:i/>
          <w:iCs/>
          <w:sz w:val="20"/>
          <w:szCs w:val="20"/>
        </w:rPr>
        <w:t>Enterococcus faecalis</w:t>
      </w:r>
      <w:r w:rsidRPr="00DC6B18">
        <w:rPr>
          <w:rFonts w:ascii="Times New Roman" w:eastAsia="Times New Roman" w:hAnsi="Times New Roman" w:cs="Times New Roman"/>
          <w:sz w:val="20"/>
          <w:szCs w:val="20"/>
        </w:rPr>
        <w:t xml:space="preserve"> and </w:t>
      </w:r>
      <w:r w:rsidRPr="00DC6B18">
        <w:rPr>
          <w:rFonts w:ascii="Times New Roman" w:eastAsia="Times New Roman" w:hAnsi="Times New Roman" w:cs="Times New Roman"/>
          <w:i/>
          <w:iCs/>
          <w:sz w:val="20"/>
          <w:szCs w:val="20"/>
        </w:rPr>
        <w:t xml:space="preserve">E. faecium. </w:t>
      </w:r>
      <w:r w:rsidRPr="00DC6B18">
        <w:rPr>
          <w:rFonts w:ascii="Times New Roman" w:eastAsia="Times New Roman" w:hAnsi="Times New Roman" w:cs="Times New Roman"/>
          <w:sz w:val="20"/>
          <w:szCs w:val="20"/>
        </w:rPr>
        <w:t xml:space="preserve">The relative importance of </w:t>
      </w:r>
      <w:r w:rsidRPr="00DC6B18">
        <w:rPr>
          <w:rFonts w:ascii="Times New Roman" w:eastAsia="Times New Roman" w:hAnsi="Times New Roman" w:cs="Times New Roman"/>
          <w:i/>
          <w:iCs/>
          <w:sz w:val="20"/>
          <w:szCs w:val="20"/>
        </w:rPr>
        <w:t>E. faecium</w:t>
      </w:r>
      <w:r w:rsidRPr="00DC6B18">
        <w:rPr>
          <w:rFonts w:ascii="Times New Roman" w:eastAsia="Times New Roman" w:hAnsi="Times New Roman" w:cs="Times New Roman"/>
          <w:sz w:val="20"/>
          <w:szCs w:val="20"/>
        </w:rPr>
        <w:t xml:space="preserve"> as a pathogen has increased with the occurrence of high-level resistance to multiple antimicrobial drugs, such as ampicillin and </w:t>
      </w:r>
      <w:r w:rsidRPr="00DC6B18">
        <w:rPr>
          <w:rFonts w:ascii="Times New Roman" w:eastAsia="Times New Roman" w:hAnsi="Times New Roman" w:cs="Times New Roman"/>
          <w:sz w:val="20"/>
          <w:szCs w:val="20"/>
        </w:rPr>
        <w:lastRenderedPageBreak/>
        <w:t xml:space="preserve">vancomycin. The rapid increase of vancomycin resistance compromises physicians' ability to treat infections caused by many of these strains because often no other antimicrobial drugs are available. The emergence of Vancomycin-Resistant </w:t>
      </w:r>
      <w:r w:rsidRPr="00DC6B18">
        <w:rPr>
          <w:rFonts w:ascii="Times New Roman" w:eastAsia="Times New Roman" w:hAnsi="Times New Roman" w:cs="Times New Roman"/>
          <w:i/>
          <w:iCs/>
          <w:sz w:val="20"/>
          <w:szCs w:val="20"/>
        </w:rPr>
        <w:t>Enterococci</w:t>
      </w:r>
      <w:r w:rsidRPr="00DC6B18">
        <w:rPr>
          <w:rFonts w:ascii="Times New Roman" w:eastAsia="Times New Roman" w:hAnsi="Times New Roman" w:cs="Times New Roman"/>
          <w:sz w:val="20"/>
          <w:szCs w:val="20"/>
        </w:rPr>
        <w:t xml:space="preserve"> (VRE) was first identified in 1987 in Europe and within 10 years VRE represented &gt;25% of </w:t>
      </w:r>
      <w:r w:rsidRPr="00DC6B18">
        <w:rPr>
          <w:rFonts w:ascii="Times New Roman" w:eastAsia="Times New Roman" w:hAnsi="Times New Roman" w:cs="Times New Roman"/>
          <w:i/>
          <w:iCs/>
          <w:sz w:val="20"/>
          <w:szCs w:val="20"/>
        </w:rPr>
        <w:t>Enterococci</w:t>
      </w:r>
      <w:r w:rsidRPr="00DC6B18">
        <w:rPr>
          <w:rFonts w:ascii="Times New Roman" w:eastAsia="Times New Roman" w:hAnsi="Times New Roman" w:cs="Times New Roman"/>
          <w:sz w:val="20"/>
          <w:szCs w:val="20"/>
        </w:rPr>
        <w:t xml:space="preserve"> associated with bloodstream infections in hospitalized patients in the United States (source: Center for Disease Control and Prevention, Emerging Infectious Disease article entitled “Global Spread of Vancomycin-resistant </w:t>
      </w:r>
      <w:r w:rsidRPr="00DC6B18">
        <w:rPr>
          <w:rFonts w:ascii="Times New Roman" w:eastAsia="Times New Roman" w:hAnsi="Times New Roman" w:cs="Times New Roman"/>
          <w:i/>
          <w:iCs/>
          <w:sz w:val="20"/>
          <w:szCs w:val="20"/>
        </w:rPr>
        <w:t>Enterococcus faecium</w:t>
      </w:r>
      <w:r w:rsidRPr="00DC6B18">
        <w:rPr>
          <w:rFonts w:ascii="Times New Roman" w:eastAsia="Times New Roman" w:hAnsi="Times New Roman" w:cs="Times New Roman"/>
          <w:sz w:val="20"/>
          <w:szCs w:val="20"/>
        </w:rPr>
        <w:t xml:space="preserve"> from Distinct Nosocomial Genetic Complex, 2005).</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Drug-Resistant Streptococcus Pneumoniae</w:t>
      </w:r>
      <w:r w:rsidRPr="00DC6B18">
        <w:rPr>
          <w:rFonts w:ascii="Times New Roman" w:eastAsia="Times New Roman" w:hAnsi="Times New Roman" w:cs="Times New Roman"/>
          <w:i/>
          <w:iCs/>
          <w:sz w:val="20"/>
          <w:szCs w:val="20"/>
        </w:rPr>
        <w:t xml:space="preserve">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Gram-positive </w:t>
      </w:r>
      <w:r w:rsidRPr="00DC6B18">
        <w:rPr>
          <w:rFonts w:ascii="Times New Roman" w:eastAsia="Times New Roman" w:hAnsi="Times New Roman" w:cs="Times New Roman"/>
          <w:i/>
          <w:iCs/>
          <w:sz w:val="20"/>
          <w:szCs w:val="20"/>
        </w:rPr>
        <w:t>Streptococcus pneumonia</w:t>
      </w:r>
      <w:r w:rsidRPr="00DC6B18">
        <w:rPr>
          <w:rFonts w:ascii="Times New Roman" w:eastAsia="Times New Roman" w:hAnsi="Times New Roman" w:cs="Times New Roman"/>
          <w:sz w:val="20"/>
          <w:szCs w:val="20"/>
        </w:rPr>
        <w:t xml:space="preserve"> is one of the most virulent human pathogens and causes a wide range of infections, including invasive and non-invasive diseases. There are about one million new pneumococcal infections every year, majority of which occur among children &lt;5 years, and the organism is responsible for 10–20% of all deaths in this age group. A distinct population of </w:t>
      </w:r>
      <w:r w:rsidRPr="00DC6B18">
        <w:rPr>
          <w:rFonts w:ascii="Times New Roman" w:eastAsia="Times New Roman" w:hAnsi="Times New Roman" w:cs="Times New Roman"/>
          <w:i/>
          <w:iCs/>
          <w:sz w:val="20"/>
          <w:szCs w:val="20"/>
        </w:rPr>
        <w:t>S. pneumonia</w:t>
      </w:r>
      <w:r w:rsidRPr="00DC6B18">
        <w:rPr>
          <w:rFonts w:ascii="Times New Roman" w:eastAsia="Times New Roman" w:hAnsi="Times New Roman" w:cs="Times New Roman"/>
          <w:sz w:val="20"/>
          <w:szCs w:val="20"/>
        </w:rPr>
        <w:t xml:space="preserve"> showed significantly higher levels of resistance against various antibiotics (penicillin, erythromycin, tetracycline, chloramphenicol, and cefotaxime) compared to other pneumococcal sub-populations that did not show evidence of recombination (source: Donkor, ES, “Understanding the Pneumococcus: Transmission and Evolution” in Frontiers in Cellular and Infection Microbiology, 2013).</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ind w:firstLine="720"/>
        <w:rPr>
          <w:rFonts w:ascii="Calibri" w:eastAsia="Times New Roman" w:hAnsi="Calibri" w:cs="Times New Roman"/>
        </w:rPr>
      </w:pPr>
      <w:r w:rsidRPr="00DC6B18">
        <w:rPr>
          <w:rFonts w:ascii="Calibri" w:eastAsia="Times New Roman" w:hAnsi="Calibri" w:cs="Times New Roman"/>
        </w:rPr>
        <w:t> </w:t>
      </w:r>
    </w:p>
    <w:p w:rsidR="00DC6B18" w:rsidRPr="00DC6B18" w:rsidRDefault="00DC6B18" w:rsidP="00DC6B18">
      <w:pPr>
        <w:spacing w:after="0" w:line="240" w:lineRule="auto"/>
        <w:jc w:val="center"/>
        <w:rPr>
          <w:rFonts w:ascii="Calibri" w:eastAsia="Times New Roman" w:hAnsi="Calibri" w:cs="Times New Roman"/>
        </w:rPr>
      </w:pPr>
      <w:r w:rsidRPr="00DC6B18">
        <w:rPr>
          <w:rFonts w:ascii="Calibri" w:eastAsia="Times New Roman" w:hAnsi="Calibri" w:cs="Times New Roman"/>
          <w:noProof/>
        </w:rPr>
        <w:drawing>
          <wp:inline distT="0" distB="0" distL="0" distR="0">
            <wp:extent cx="4133850" cy="3381375"/>
            <wp:effectExtent l="0" t="0" r="0" b="9525"/>
            <wp:docPr id="2" name="Picture 2" descr="E:\SEC Filings.s\Companies\NanoAntibiotics.f\2015-06-30 NNAB 10K\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C Filings.s\Companies\NanoAntibiotics.f\2015-06-30 NNAB 10K\image_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3850" cy="3381375"/>
                    </a:xfrm>
                    <a:prstGeom prst="rect">
                      <a:avLst/>
                    </a:prstGeom>
                    <a:noFill/>
                    <a:ln>
                      <a:noFill/>
                    </a:ln>
                  </pic:spPr>
                </pic:pic>
              </a:graphicData>
            </a:graphic>
          </wp:inline>
        </w:drawing>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Our Drug Candidates are Designed to Block Efflux Pumps and Destroy Drug Resistant Bacteria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designing drug candidates to block efflux pumps by mechanisms such as (1) interference with the regulatory steps needed for the expression of the efflux pump, (2) chemical changes in the antibiotic structure hence hindering its attachment as the specific substrate, (3) disruption of the assembly of the efflux pump-components, (4) inhibition of the substrate (antibiotic) binding by either competitive or non-competitive binding using other compounds, (5) blocking the outer most pores responsible for the efflux of antibiotic compound and (6) interference with the energy required for the pump activity.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A bactericidal antibiotic, such as Penicillin kills the bacteria. A bactericidal usually either interferes with the formation of the bacterium's cell wall or its cell contents. A bacteriostatic, such as tetracyclines, stops bacteria from multiplying. </w:t>
      </w:r>
      <w:r w:rsidRPr="00DC6B18">
        <w:rPr>
          <w:rFonts w:ascii="Times New Roman" w:eastAsia="Times New Roman" w:hAnsi="Times New Roman" w:cs="Times New Roman"/>
          <w:sz w:val="20"/>
          <w:szCs w:val="20"/>
        </w:rPr>
        <w:lastRenderedPageBreak/>
        <w:t>Our drug candidates are designed to inhibit infection acting as both bactericidal and bacteriostatic agents. By using nano technology to deliver an efflux pump blocker and antibiotic into the bacteria, it enables the antibiotics to maintain a high concentration at their target inside the bacteria greatly improving the efficacy of the antibiotics.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Research and Development</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-6-</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We need to license additional technology to complete our planned products. </w:t>
      </w:r>
      <w:r w:rsidRPr="00DC6B18">
        <w:rPr>
          <w:rFonts w:ascii="Times New Roman" w:eastAsia="Times New Roman" w:hAnsi="Times New Roman" w:cs="Times New Roman"/>
          <w:color w:val="222222"/>
          <w:sz w:val="20"/>
          <w:szCs w:val="20"/>
          <w:shd w:val="clear" w:color="auto" w:fill="FFFFFF"/>
        </w:rPr>
        <w:t xml:space="preserve">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For the year ended June 30, 2015, the Company spent $4,196 in research and development activities, however prior to the Company’s incorporation, research on efflux pump blockers and in-vitro studies were performed at Kard, a preclinical contract research organization founded by our President Mr. Menon in 2002 and of which Mr. Menon is its principal shareholder.</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Outsourcing</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We outsource the manufacture of our research materials to outside vendors. We did not outsource any manufacturing costs for the year ended June 30, 2015. </w:t>
      </w:r>
      <w:r w:rsidRPr="00DC6B18">
        <w:rPr>
          <w:rFonts w:ascii="Times New Roman" w:eastAsia="Times New Roman" w:hAnsi="Times New Roman" w:cs="Times New Roman"/>
          <w:sz w:val="20"/>
          <w:szCs w:val="20"/>
          <w:shd w:val="clear" w:color="auto" w:fill="FFFFFF"/>
        </w:rPr>
        <w:t>We need to license additional technology to complete our planned products. 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w:t>
      </w:r>
      <w:r w:rsidRPr="00DC6B18">
        <w:rPr>
          <w:rFonts w:ascii="Calibri" w:eastAsia="Times New Roman" w:hAnsi="Calibri" w:cs="Times New Roman"/>
          <w:b/>
          <w:bCs/>
          <w:sz w:val="20"/>
          <w:szCs w:val="20"/>
          <w:shd w:val="clear" w:color="auto" w:fill="FFFFFF"/>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Government Regulation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Government authorities in the United States, at the federal, state and local level, and in other countries extensively regulate, among other things, the research, development, testing, manufacture, quality control, approval, labeling, packaging, storage, record-keeping, promotion, advertising, distribution, post-approval monitoring and reporting, marketing and export and import of products such as those we are developing. Any pharmaceutical candidate that we develop must be approved by the FDA before it may be legally marketed in the United States and by the appropriate foreign regulatory agency before it may be legally marketed in foreign countries.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United States Drug Development Process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 the United States, the FDA regulates drugs under the Federal Food, Drug and Cosmetic Act, or FDCA, and implementing regulations. Drugs are also subject to other federal, state and local statutes and regulations. Biologics are subject to regulation by the FDA under the FDCA, the Public Health Service Act, or the PHSA, and related regulations, and other federal, state and local statutes and regulations. Biological products include, among other things, viruses, therapeutic serums, vaccines and most protein products. The process of obtaining regulatory approvals and the subsequent compliance with appropriate federal, state, local and foreign statutes and regulations require the expenditure of substantial time and financial resources. Failure to comply with the applicable United States requirements at any time during the product development process, approval process or after approval, may subject an applicant to administrative or judicial sanctions. FDA sanctions could include refusal to approve pending applications, withdrawal of an approval, a clinical hold, warning letters, product recalls, product seizures, total or partial suspension of production or distribution, injunctions, fines, refusals of government contracts, restitution, disgorgement or civil or criminal penalties. Any agency or judicial enforcement action could have a material adverse effect on us.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process required by the FDA before a drug or biological product may be marketed in the United States generally involves the following:</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xml:space="preserve">• </w:t>
      </w:r>
      <w:r w:rsidRPr="00DC6B18">
        <w:rPr>
          <w:rFonts w:ascii="Times New Roman" w:eastAsia="Times New Roman" w:hAnsi="Times New Roman" w:cs="Times New Roman"/>
          <w:sz w:val="20"/>
          <w:szCs w:val="20"/>
        </w:rPr>
        <w:t>Completion of preclinical laboratory tests, animal studies and formulation studies according to Good Laboratory Practices or other applicable regulations;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-7-</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xml:space="preserve">• </w:t>
      </w:r>
      <w:r w:rsidRPr="00DC6B18">
        <w:rPr>
          <w:rFonts w:ascii="Times New Roman" w:eastAsia="Times New Roman" w:hAnsi="Times New Roman" w:cs="Times New Roman"/>
          <w:sz w:val="20"/>
          <w:szCs w:val="20"/>
        </w:rPr>
        <w:t>Submission to the FDA of an Investigational New Drug Application, or an IND, which must become effective before human clinical trials may begin;</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xml:space="preserve">• </w:t>
      </w:r>
      <w:r w:rsidRPr="00DC6B18">
        <w:rPr>
          <w:rFonts w:ascii="Times New Roman" w:eastAsia="Times New Roman" w:hAnsi="Times New Roman" w:cs="Times New Roman"/>
          <w:sz w:val="20"/>
          <w:szCs w:val="20"/>
        </w:rPr>
        <w:t>Performance of adequate and well-controlled human clinical trials according to the FDA's current good clinical practices, or GCPs, to establish the safety and efficacy of the proposed drug or biologic for its intended use;</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w:t>
      </w:r>
      <w:r w:rsidRPr="00DC6B18">
        <w:rPr>
          <w:rFonts w:ascii="Times New Roman" w:eastAsia="Times New Roman" w:hAnsi="Times New Roman" w:cs="Times New Roman"/>
          <w:sz w:val="20"/>
          <w:szCs w:val="20"/>
        </w:rPr>
        <w:t>Submission to the FDA of a New Drug Application, or an NDA, for a new drug product, or a Biologics License Application, or a BLA, for a new biological product;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w:t>
      </w:r>
      <w:r w:rsidRPr="00DC6B18">
        <w:rPr>
          <w:rFonts w:ascii="Times New Roman" w:eastAsia="Times New Roman" w:hAnsi="Times New Roman" w:cs="Times New Roman"/>
          <w:sz w:val="20"/>
          <w:szCs w:val="20"/>
        </w:rPr>
        <w:t>Satisfactory completion of an FDA inspection of the manufacturing facility or facilities where the drug or biologic is to be produced to assess compliance with the FDA's current good manufacturing practice standards, or cGMP, to assure that the facilities, methods and controls are adequate to preserve the drug's or biologic's identity, strength, quality and purity;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xml:space="preserve">• </w:t>
      </w:r>
      <w:r w:rsidRPr="00DC6B18">
        <w:rPr>
          <w:rFonts w:ascii="Times New Roman" w:eastAsia="Times New Roman" w:hAnsi="Times New Roman" w:cs="Times New Roman"/>
          <w:sz w:val="20"/>
          <w:szCs w:val="20"/>
        </w:rPr>
        <w:t>Potential FDA audit of the nonclinical and clinical trial sites that generated the data in support of the NDA or BLA; and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xml:space="preserve">• </w:t>
      </w:r>
      <w:r w:rsidRPr="00DC6B18">
        <w:rPr>
          <w:rFonts w:ascii="Times New Roman" w:eastAsia="Times New Roman" w:hAnsi="Times New Roman" w:cs="Times New Roman"/>
          <w:sz w:val="20"/>
          <w:szCs w:val="20"/>
        </w:rPr>
        <w:t>FDA review and approval of the NDA or BLA.</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lengthy process of seeking required approvals and the continuing need for compliance with applicable statutes and regulations require the expenditure of substantial resources. There can be no certainty that approvals will be granted.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Before testing any compounds with potential therapeutic value in humans, the drug or biological candidate enters the preclinical testing stage. Preclinical tests include laboratory evaluations of product chemistry, toxicity and formulation, as well as animal studies to assess the potential safety and activity of the drug or biological candidate. The conduct of the preclinical tests must comply with federal regulations and requirements including good laboratory practices. The sponsor must submit the results of the preclinical tests, together with manufacturing information, analytical data, any available clinical data or literature and a proposed clinical protocol, to the FDA as part of the IND. The IND automatically becomes effective 30 days after receipt by the FDA, unless the FDA places the clinical trial on a clinical hold within that 30-day time period. In such a case, the IND sponsor and the FDA must resolve any outstanding concerns before the clinical trial can begin. The FDA may also impose clinical holds on a drug or biological candidate at any time before or during clinical trials due to safety concerns or non-compliance. Accordingly, we cannot assure that submission of an IND will result in the FDA allowing clinical trials to begin, or that, once begun, issues will not arise that suspend or terminate such trial.</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Clinical trials involve the administration of the drug or biological candidate to healthy volunteers or patients having the disease being studied under the supervision of qualified investigators, generally physicians not employed by or under the trial sponsor's control. Clinical trials are conducted under protocols detailing, among other things, the objectives of the clinical trial, dosing procedures, subject selection and exclusion criteria, and the parameters to be used to monitor subject safety. Each protocol must be submitted to the FDA as part of the IND. Clinical trials must be conducted in accordance with the FDA's good clinical practices requirements. Further, each clinical trial must be reviewed and approved by an independent institutional review board, or IRB, at or servicing each institution at which the clinical trial will be conducted. An IRB is charged with protecting the welfare and rights of trial participants and considers such items as whether the risks to individuals participating in the clinical trials are minimized and are reasonable in relation to anticipated benefits. The IRB also approves the informed consent form that must be provided to each clinical trial subject or his or her legal representative and must monitor the clinical trial until it is completed.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Human clinical trials prior to approval are typically conducted in three sequential Phases that may overlap or be combined:</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lastRenderedPageBreak/>
        <w:t>• Phase 1.</w:t>
      </w:r>
      <w:r w:rsidRPr="00DC6B18">
        <w:rPr>
          <w:rFonts w:ascii="Times New Roman" w:eastAsia="Times New Roman" w:hAnsi="Times New Roman" w:cs="Times New Roman"/>
          <w:sz w:val="20"/>
          <w:szCs w:val="20"/>
        </w:rPr>
        <w:t>  The drug or biologic is initially introduced into healthy human subjects and tested for safety, dosage tolerance, absorption, metabolism, distribution and excretion. In the case of some products for severe or life-threatening diseases, especially when the product may be too inherently toxic to ethically administer to healthy volunteers, the initial human testing is often conducted in patients having the specific disease.</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Phase 2.</w:t>
      </w:r>
      <w:r w:rsidRPr="00DC6B18">
        <w:rPr>
          <w:rFonts w:ascii="Times New Roman" w:eastAsia="Times New Roman" w:hAnsi="Times New Roman" w:cs="Times New Roman"/>
          <w:sz w:val="20"/>
          <w:szCs w:val="20"/>
        </w:rPr>
        <w:t>  The drug or biologic is evaluated in a limited patient population to identify possible adverse effects and safety risks, to preliminarily evaluate the efficacy of the product for specific targeted diseases and to determine dosage tolerance, optimal dosage and dosing schedule for patients having the specific disease.</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Phase 3.</w:t>
      </w:r>
      <w:r w:rsidRPr="00DC6B18">
        <w:rPr>
          <w:rFonts w:ascii="Times New Roman" w:eastAsia="Times New Roman" w:hAnsi="Times New Roman" w:cs="Times New Roman"/>
          <w:sz w:val="20"/>
          <w:szCs w:val="20"/>
        </w:rPr>
        <w:t>  Clinical trials are undertaken to further evaluate dosage, clinical efficacy and safety in an expanded patient population at geographically dispersed clinical trial sites. These clinical trials, which usually involve more subjects than earlier trials, are intended to establish the overall risk/benefit ratio of the product and provide an adequate basis for product labeling. Generally, at least two adequate and well-controlled Phase 3 clinical trials are required by the FDA for approval of an NDA or BLA.</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Post-approval studies, or Phase 4 clinical trials, may be conducted after initial marketing approval. These studies are used to gain additional experience from the treatment of patients in the intended therapeutic indication and may be required by the FDA as part of the approval process.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Progress reports detailing the results of the clinical trials must be submitted at least annually to the FDA and written IND safety reports must be submitted to the FDA by the investigators for serious and unexpected adverse events or any finding from tests in laboratory animals that suggests a significant risk for human subjects. Phase 1, Phase 2 and Phase 3 clinical trials may not be completed successfully within any specified period, if at all. The FDA or the sponsor or its data safety monitoring board may suspend a clinical trial at any time on various grounds, including a finding that the research subjects or patients are being exposed to an unacceptable health risk. Similarly, an IRB can suspend or terminate approval of a clinical trial at its institution if the clinical trial is not being conducted in accordance with the IRB's requirements or if the drug or biologic has been associated with unexpected serious harm to patients.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Concurrent with clinical trials, companies usually complete additional animal studies and develop additional information about the chemistry and physical characteristics of the drug or biologic as well as finalize a process for manufacturing the product in commercial quantities in accordance with cGMP requirements. The manufacturing process must be capable of consistently producing quality batches of the drug or biological candidate and, among other things, must include methods for testing the identity, strength, quality and purity of the final drug or biologic. Additionally, appropriate packaging must be selected and tested and stability studies must be conducted to demonstrate that the drug or biological candidate does not undergo unacceptable deterioration over its shelf life.</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U.S. Review and Approval Processes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results of product development, preclinical studies and clinical trials, along with descriptions of the manufacturing process, analytical tests conducted on the chemistry of the drug or biologic, proposed labeling and other relevant information are submitted to the FDA as part of an NDA or BLA requesting approval to market the product. The submission of an NDA or BLA is subject to the payment of substantial user fees; a waiver of such fees may be obtained under certain limited circumstances.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FDA reviews all NDAs and BLAs submitted before it accepts them for filing and may request additional information rather than accepting an NDA or BLA for filing. Once the submission is accepted for filing, the FDA begins an in-depth review of the NDA or BLA.</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-9-</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After the NDA or BLA submission is accepted for filing, the FDA reviews the NDA to determine, among other things, whether the proposed product is safe and effective for its intended use, and whether the product is being manufactured in accordance with cGMP to assure and preserve the product's identity, strength, quality and purity. The FDA reviews a BLA to determine, among other things, whether the product is safe, pure and potent and the facility in which it is manufactured, processed, packaged or held meets standards designed to assure the product's continued safety, purity and potency. In addition to its own review, the FDA may refer applications for novel drug or biological products or </w:t>
      </w:r>
      <w:r w:rsidRPr="00DC6B18">
        <w:rPr>
          <w:rFonts w:ascii="Times New Roman" w:eastAsia="Times New Roman" w:hAnsi="Times New Roman" w:cs="Times New Roman"/>
          <w:sz w:val="20"/>
          <w:szCs w:val="20"/>
        </w:rPr>
        <w:lastRenderedPageBreak/>
        <w:t>drug or biological products which present difficult questions of safety or efficacy to an advisory committee, typically a panel that includes clinicians and other experts, for review, evaluation and a recommendation as to whether the application should be approved and under what conditions. The FDA is not bound by the recommendations of an advisory committee, but it considers such recommendations carefully when making decisions. During the approval process, the FDA also will determine whether a risk evaluation and mitigation strategy, or REMS, is necessary to assure the safe use of the drug or biologic. If the FDA concludes that a REMS is needed, the sponsor of the NDA or BLA must submit a proposed REMS; the FDA will not approve the NDA or BLA without a REMS, if required.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Before approving an NDA or BLA, the FDA will inspect the facilities at which the product is to be manufactured. The FDA will not approve the product unless it determines that the manufacturing processes and facilities are in compliance with cGMP requirements and adequate to assure consistent production of the product within required specifications. Additionally, before approving an NDA or BLA, the FDA will typically inspect one or more clinical sites to assure compliance with cGMP. If the FDA determines the application, manufacturing process or manufacturing facilities are not acceptable it will outline the deficiencies in the submission and often will request additional testing or information.</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NDA or BLA review and approval process is lengthy and difficult and the FDA may refuse to approve an NDA or BLA if the applicable regulatory criteria are not satisfied or may require additional clinical data or other data and information. Even if such data and information is submitted, the FDA may ultimately decide that the NDA or BLA does not satisfy the criteria for approval. Data obtained from clinical trials are not always conclusive and may be susceptible to varying interpretations, which could delay, limit or prevent regulatory approval. The FDA will issue a "complete response" letter if the agency decides not to approve the NDA or BLA. The complete response letter usually describes all of the specific deficiencies in the NDA or BLA identified by the FDA. The deficiencies identified may be minor, for example, requiring labeling changes, or major, for example, requiring additional clinical trials. Additionally, the complete response letter may include recommended actions that the applicant might take to place the application in a condition for approval. If a complete response letter is issued, the applicant may either resubmit the NDA or BLA, addressing all of the deficiencies identified in the letter, or withdraw the application.</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If a product receives regulatory approval, the approval may be limited to specific diseases and dosages or the indications for use may otherwise be limited, which could restrict the commercial value of the product. Further, the FDA may require that certain contraindications, warnings or precautions be included in the product labeling. In addition, the FDA may require Phase 4 testing which involves clinical trials designed to further assess a product's safety and effectiveness and may require testing and surveillance programs to monitor the safety of approved products that have been commercialized.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Orphan Drug Designation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Under the Orphan Drug Act, the FDA may grant orphan designation to a drug or biological product intended to treat a rare disease or condition, which is generally a disease or condition that affects fewer than 200,000 individuals in the United States, or more than 200,000 individuals in the United States and for which there is no reasonable expectation that the cost of developing and making a drug or biological product available in the United States for this type of disease or condition will be recovered from sales of the product. Orphan product designation must be requested before submitting an NDA or BLA. After the FDA grants orphan product designation, the identity of the therapeutic agent</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-10-</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and its potential orphan use are disclosed publicly by the FDA. Orphan product designation does not convey any advantage in or shorten the duration of the regulatory review and approval process.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If a product that has orphan designation subsequently receives the first FDA approval for the disease or condition for which it has such designation, the product is entitled to orphan product exclusivity, which means that the FDA may not approve any other applications to market the same drug or biological product for the same indication for seven years, except in limited circumstances, such as a showing of clinical superiority to the product with orphan exclusivity. Competitors, however, may receive approval of different products for the indication for which the orphan product has exclusivity or obtain approval for the same product but for a different indication for which the orphan product has exclusivity. Orphan product exclusivity also could block the approval of one of our products for seven years if a competitor obtains approval of the same drug or biological product as defined by the FDA or if our drug or biological </w:t>
      </w:r>
      <w:r w:rsidRPr="00DC6B18">
        <w:rPr>
          <w:rFonts w:ascii="Times New Roman" w:eastAsia="Times New Roman" w:hAnsi="Times New Roman" w:cs="Times New Roman"/>
          <w:sz w:val="20"/>
          <w:szCs w:val="20"/>
        </w:rPr>
        <w:lastRenderedPageBreak/>
        <w:t>candidate is determined to be contained within the competitor's product for the same indication or disease. If a drug or biological product designated as an orphan product receives marketing approval for an indication broader than what is designated, it may not be entitled to orphan product exclusivity. Orphan drug status in the European Union has similar but not identical benefits in the European Union.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Expedited Development and Review Programs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FDA has a Fast Track program that is intended to expedite or facilitate the process for reviewing new drug and biological products that meet certain criteria. Specifically, new drug and biological products are eligible for Fast Track designation if they are intended to treat a serious or life-threatening condition and demonstrate the potential to address unmet medical needs for the condition. Fast Track designation applies to the combination of the product and the specific indication for which it is being studied. Unique to a Fast Track product, the FDA may consider for review sections of the NDA or BLA on a rolling basis before the complete application is submitted, if the sponsor provides a schedule for the submission of the sections of the NDA or BLA, the FDA agrees to accept sections of the NDA or BLA and determines that the schedule is acceptable, and the sponsor pays any required user fees upon submission of the first section of the NDA or BLA.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Any product submitted to the FDA for marketing approval, including those submitted to a Fast Track program, may also be eligible for other types of FDA programs intended to expedite development and review, such as priority review and accelerated approval. Any product is eligible for priority review if it has the potential to provide safe and effective therapy where no satisfactory alternative therapy exists or a significant improvement in the treatment, diagnosis or prevention of a disease compared with marketed products. The FDA will attempt to direct additional resources to the evaluation of an application for a new drug or biological product designated for priority review in an effort to facilitate the review. Additionally, a product may be eligible for accelerated approval. Drug or biological products studied for their safety and effectiveness in treating serious or life-threatening illnesses and that provide meaningful therapeutic benefit over existing treatments may receive accelerated approval, which means that they may be approved on the basis of adequate and well-controlled clinical studies establishing that the product has an effect on a surrogate endpoint that is reasonably likely to predict a clinical benefit, or on the basis of an effect on a clinical endpoint other than survival or irreversible morbidity. As a condition of approval, the FDA generally requires that a sponsor of a drug or biological product receiving accelerated approval perform adequate and well-controlled post-marketing clinical studies to establish safety and efficacy for the approved indication. Failure to conduct such studies, or conducting such studies that do not establish the required safety and efficacy may result in revocation of the original approval. In addition, the FDA currently requires as a condition for accelerated approval pre-approval of promotional materials, which could adversely impact the timing of the commercial launch or subsequent marketing of the product. Fast Track designation, priority review and accelerated approval do not change the standards for approval but may expedite the development or approval process.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Post-Approval Requirements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-11-</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Any drug or biological products for which we receive FDA approvals are subject to continuing regulation by the FDA, including, among other things, record-keeping requirements, reporting of adverse experiences with the product, providing the FDA with updated safety and efficacy information on an annual basis or as required more frequently for specific events, product sampling and distribution requirements, complying with certain electronic records and signature requirements and complying with FDA promotion and advertising requirements, which include, among others, standards for direct-to-consumer advertising, prohibitions against promoting drugs and biologics for uses or in patient populations that are not described in the drug's or biologic's approved labeling (known as "off-label use"), rules for conducting industry-sponsored scientific and educational activities, and promotional activities involving the internet. Failure to comply with FDA requirements can have negative consequences, including the immediate discontinuation of noncomplying materials, adverse publicity, enforcement letters from the FDA, mandated corrective advertising or communications with doctors, and civil or criminal penalties. Although physicians may prescribe legally available drugs and biologics for off-label uses, manufacturers may not market or promote such off-label uses.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We will need to rely, on third parties for the production of our product candidates. Manufacturers of our product candidates are required to comply with applicable FDA manufacturing requirements contained in the FDA's cGMP </w:t>
      </w:r>
      <w:r w:rsidRPr="00DC6B18">
        <w:rPr>
          <w:rFonts w:ascii="Times New Roman" w:eastAsia="Times New Roman" w:hAnsi="Times New Roman" w:cs="Times New Roman"/>
          <w:sz w:val="20"/>
          <w:szCs w:val="20"/>
        </w:rPr>
        <w:lastRenderedPageBreak/>
        <w:t>regulations. cGMP regulations require among other things, quality control and quality assurance as well as the corresponding maintenance of comprehensive records and documentation. Drug and biologic manufacturers and other entities involved in the manufacture and distribution of approved drugs and biologics are also required to register their establishments and list any products made there with the FDA and comply with related requirements in certain states, and are subject to periodic unannounced inspections by the FDA and certain state agencies for compliance with cGMP and other laws. Accordingly, manufacturers must continue to expend time, money and effort in the area of production and quality control to maintain cGMP compliance. Discovery of problems with a product after approval may result in serious and extensive restrictions on a product, manufacturer, or holder of an approved NDA or BLA, including suspension of a product until the FDA is assured that quality standards can be met, continuing oversight of manufacturing by the FDA under a "consent decree," which frequently includes the imposition of costs and continuing inspections over a period of many years, and possible withdrawal of the product from the market. In addition, changes to the manufacturing process generally require prior FDA approval before being implemented and other types of changes to the approved product, such as adding new indications and additional labeling claims, are also subject to further FDA review and approval.</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FDA also may require post-marketing testing, known as Phase 4 testing, risk minimization action plans and surveillance to monitor the effects of an approved product or place conditions on an approval that could otherwise restrict the distribution or use of the product.</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Employees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Our business is managed by our officers. To advance our business development efforts, our Chief Executive Officer, Chief Financial Officer, Treasurer and Corporate Secretary, Elliot Ehrlich devotes his full time to the Company’s activities and our President and Director Rajah Menon devotes part time to the Company’s activities. There are no additional employees.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2" w:name="a_003"/>
      <w:bookmarkEnd w:id="2"/>
      <w:r w:rsidRPr="00DC6B18">
        <w:rPr>
          <w:rFonts w:ascii="Times New Roman" w:eastAsia="Times New Roman" w:hAnsi="Times New Roman" w:cs="Times New Roman"/>
          <w:b/>
          <w:bCs/>
          <w:sz w:val="20"/>
          <w:szCs w:val="20"/>
        </w:rPr>
        <w:t>ITEM 1A.</w:t>
      </w:r>
      <w:r w:rsidRPr="00DC6B18">
        <w:rPr>
          <w:rFonts w:ascii="Times New Roman" w:eastAsia="Times New Roman" w:hAnsi="Times New Roman" w:cs="Times New Roman"/>
          <w:b/>
          <w:bCs/>
          <w:sz w:val="20"/>
          <w:szCs w:val="20"/>
        </w:rPr>
        <w:tab/>
        <w:t>RISK FACTORS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THE SECURITIES BEING OFFERED INVOLVE A HIGH DEGREE OF RISK AND, THEREFORE, SHOULD BE CONSIDERED EXTREMELY SPECULATIVE. THEY SHOULD NOT BE PURCHASED BY PERSONS WHO CANNOT AFFORD THE POSSIBILITY OF THE LOSS OF THE ENTIRE INVESTMENT. PROSPECTIVE INVESTORS SHOULD READ THE ENTIRE PROSPECTUS, INCLUDING ALL EXHIBITS, AND CAREFULLY CONSIDER, AMONG OTHER FACTORS THE FOLLOWING RISK FACTORS.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-12-</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Risks Relating to Our Business and Industry</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are a development stage company with a limited operating history, making it difficult for you to evaluate our business and your investment.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NanoAntibiotics, Inc. was incorporated on April 10, 2013. We are a development stage biopharmaceutical company with conceptual compounds which need to be developed into drug candidates, and our operations subject to all of the risks inherent in the establishment of a new business enterprise, including but not limited to the absence of an operating history, the lack of commercialized products, insufficient capital, expected substantial and continual losses for the foreseeable future, limited experience in dealing with regulatory issues, the lack of manufacturing experience and limited marketing experience, possible reliance on third parties for the development and commercialization of our proposed products, a competitive environment characterized by numerous, well-established and well capitalized competitors and reliance on key personnel.</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Since inception, we have not established any revenues or operations that shall provide financial stability in the long term, and there can be no assurance that the Company will realize its plans on its projected timetable in order to reach sustainable or profitable operations.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Investors are subject to all the risks incident to the creation and development of a new business and each Investor should be prepared to withstand a complete loss of his, her or its investment. Furthermore, the accompanying financial statements have been prepared assuming that the Company will continue as a going concern. The Company has not emerged from the development stage, and may be unable to raise further equity. These factors raise substantial doubt about its ability to continue as a going concern. The financial statements do not include any adjustments that might result from the outcome of this uncertainty.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Because we are subject to these risks, you may have a difficult time evaluating our business and your investment in our Company. Our ability to become profitable depends primarily on our ability to develop drugs, to obtain approval for such drugs, and if approved, to successfully commercialize our drugs, our R&amp;D efforts, including the timing and cost of clinical trials; and our ability to enter into favorable alliances with third-parties who can provide substantial capabilities in clinical development, regulatory affairs, sales, marketing and distribution.</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Even if we successfully develop and market our drug candidates, we may not generate sufficient or sustainable revenue to achieve or sustain profitability, which could cause us to cease operations and you will lose all of your investment</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We need to license additional technology to complete our planned products. </w:t>
      </w:r>
      <w:r w:rsidRPr="00DC6B18">
        <w:rPr>
          <w:rFonts w:ascii="Times New Roman" w:eastAsia="Times New Roman" w:hAnsi="Times New Roman" w:cs="Times New Roman"/>
          <w:color w:val="222222"/>
          <w:sz w:val="20"/>
          <w:szCs w:val="20"/>
          <w:shd w:val="clear" w:color="auto" w:fill="FFFFFF"/>
        </w:rPr>
        <w:t>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 There is no assurance that we will be able to license the needed technology on terms that are agreeable to the company.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have no products approved for commercial sale, have never generated any revenues and may never achieve revenues or profitability, which could cause us to cease operations.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no products approved for commercial sale and, to date, we have not generated any revenues. Our ability to generate revenue depends heavily on (a) successful development program and thereafter demonstration in human clinical trials that our nanoantibiotics and nano efflux pump blocker drug candidates are safe and effective; (b) our ability to seek and obtain regulatory approvals, including, without limitation, with respect to the indications we are seeking; (c) successful commercialization of our product candidates; and (d) market acceptance of our products. There are no assurances that we will achieve any of the forgoing objectives. Furthermore, our drug candidates are in the development stage. The candidates have only been studied in cell-based assays (in vitro), but have not been studied in small animals (in-vivo) or animals with drug resistant bacteria for efficacy, efficiency and toxicity. If we do not successfully develop and commercialize these products, we will not achieve revenues or profitability in the foreseeable future, if at all. If we are unable to generate revenues or achieve profitability, we may be unable to continue our operations.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-13-</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will need to raise substantial additional capital in the future to fund our operations and we may be unable to raise such funds when needed and on acceptable terms,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Developing biopharmaceutical products, including conducting pre-clinical studies and clinical trials and establishing manufacturing capabilities, requires substantial funding. As of June 30, 2015, we had cash and cash equivalents totaling $267,481. Other than our cash on hand, we currently have no commitments or arrangements for any additional financing to fund the research and development of our product candidates. We have not generated any product revenues, and do not expect to generate any revenues until, and only if, we develop, and receive approval to sell our drug candidates from the FDA and other regulatory authorities for our product candidates.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We need to license additional technology to complete our planned products. </w:t>
      </w:r>
      <w:r w:rsidRPr="00DC6B18">
        <w:rPr>
          <w:rFonts w:ascii="Times New Roman" w:eastAsia="Times New Roman" w:hAnsi="Times New Roman" w:cs="Times New Roman"/>
          <w:color w:val="222222"/>
          <w:sz w:val="20"/>
          <w:szCs w:val="20"/>
          <w:shd w:val="clear" w:color="auto" w:fill="FFFFFF"/>
        </w:rPr>
        <w:t>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 There is no assurance that we will be able to license the needed technology on terms that are agreeable to the company.</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We may not have the resources to license the needed technology nor to complete the development and commercialization of any of our proposed products. We will require additional financing to further the clinical development of our drug candidates. In the event that we cannot obtain the required financing, we will be unable to complete the preclinical development necessary to file an investigational new drug application with the FDA for our leading nano efflux pump blocker and nanoantibiotics drug candidates. This will delay research and development programs, preclinical studies and clinical trials, material characterization studies, regulatory processes, the establishment of our own laboratory or a search for third party marketing partners to market our products for us,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amount of capital we may need will depend on many factors, including the progress, timing and scope of our research and development programs, the progress, timing and scope of our preclinical studies and clinical trials, the time and cost necessary to obtain regulatory approvals, the time and cost necessary to establish our own marketing capabilities or to seek marketing partners, the time and cost necessary to respond to technological and market developments, changes made or new developments in our existing collaborative, licensing and other commercial relationships, and new collaborative, licensing and other commercial relationships that we may establish.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Until we can generate a sufficient amount of product revenue, if ever, we expect to finance future cash needs, through public or private equity offerings, debt financings, or corporate collaboration and licensing arrangements. Additional funds may not be available when we need them on terms that are acceptable to us, or at all. If adequate funds are not available, we may be required to delay, reduce the scope of, or eliminate one or more of our research or development programs or our commercialization efforts. In addition, we could be forced to discontinue product development and reduce or forego attractive business opportunities. To the extent that we raise additional funds by issuing equity securities, our stockholders may experience additional significant dilution, and debt financing, if available, may involve restrictive covenants. To the extent that we raise additional funds through collaboration and licensing arrangements, it may be necessary to relinquish some rights to our technologies or our product candidates, or grant licenses on terms that may not be favorable to us. We may seek to access the public or private capital markets whenever conditions are favorable, even if we do not have an immediate need for additional capital at that time.</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Our fixed expenses, such as rent and other contractual commitments, will likely increase in the future, as we may enter into leases for new facilities and capital equipment; enter into additional licenses and collaborative agreements. Therefore, if we fail to raise substantial additional capital to fund these expenses, we could be forced to cease operations, which could cause you to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-14-</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have limited experience in drug development and may not be able to successfully develop any drugs, which would cause us to cease operations.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limited experience in drug development and may not be able to successfully develop any drugs. Our ability to achieve revenues and profitability in our business will depend on, among other things, our ability to develop products internally or to obtain rights to them from others on favorable terms; complete laboratory testing and human studies; obtain and maintain necessary intellectual property rights to our products; successfully complete regulatory review to obtain requisite governmental agency approvals; enter into arrangements with third parties to manufacture our products on our behalf; and enter into arrangements with third parties to provide sales and marketing functions. If we are unable to achieve these objectives we will be forced to cease operations and you will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Development of pharmaceutical products is a time-consuming process, subject to a number of factors, many of which are outside of our control. Consequently, if we are unsuccessful or fail to timely develop new drugs, we could be forced to discontinue our operations.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Our drug candidates are in early developmental stage. Further development and extensive testing will be required to determine their technical feasibility and commercial viability. Our success will depend on our ability to achieve scientific and technological advances and to translate such advances into reliable, commercially competitive drugs on a timely basis. Drugs that we may develop are not likely to be commercially available for a few years, if ever. The proposed development schedules for our drug candidates may be affected by a variety of factors, including technological difficulties, proprietary technology of others, and changes in government regulation, many of which </w:t>
      </w:r>
      <w:r w:rsidRPr="00DC6B18">
        <w:rPr>
          <w:rFonts w:ascii="Times New Roman" w:eastAsia="Times New Roman" w:hAnsi="Times New Roman" w:cs="Times New Roman"/>
          <w:sz w:val="20"/>
          <w:szCs w:val="20"/>
        </w:rPr>
        <w:lastRenderedPageBreak/>
        <w:t>will not be within our control. Any delay in the development, introduction or marketing of our drug candidates could result either in such drugs being marketed at a time when their cost and performance characteristics would not be competitive in the marketplace or in the shortening of their commercial lives. In light of the long-term nature of our projects, the unproven technology involved and the other factors described elsewhere in this prospectus, we may not be able to complete successfully the development or marketing of any drugs which could cause us to cease operations.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may fail to successfully develop and commercialize our drug candidates if they are found to be unsafe or ineffective in clinical trials; do not receive necessary approval from the FDA or foreign regulatory agencies; fail to conform to a changing standard of care for the diseases they seek to treat; or are less effective or more expensive than current or alternative treatment methods.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Drug development failure can occur at any stage of clinical trials and as a result of many factors and there can be no assurance that we or our collaborators will reach our anticipated clinical targets. Even if we or our collaborators complete our clinical trials, we do not know what the long-term effects of exposure to our drug candidates will be. Furthermore, our drug candidates may be used in combination with other treatments and there can be no assurance that such use will not lead to unique safety issues. Failure to complete clinical trials or to prove that our drug candidates are safe and effective would have a material adverse effect on our ability to generate revenue and could require us to reduce the scope of or discontinue our operations, which could cause you to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have no manufacturing experience, and the failure to comply with all applicable manufacturing regulations and requirements could have a materially adverse effect on our business.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never manufactured products in the highly regulated environment of pharmaceutical manufacturing. There are numerous regulations and requirements that must be maintained to obtain licensure and permitting required prior to the commencement of manufacturing, as well as additional requirements to continue manufacturing pharmaceutical products. We do not own or lease facilities currently that could be used to manufacture any products that might be developed by the Company, nor do we have the resources at this time to acquire or lease suitable facilities. If we fail to comply with regulations, to obtain the necessary licenses and knowhow or to obtain the requisite financing in order to comply with all applicable regulations and to own or lease the required facilities in order to manufacture our products, we could be forced to cease operations, which would cause you to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-15-</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do not have the sales and marketing personnel necessary to sell products, and the failure to hire and retain such staff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an early stage development Company with limited resources. Even if we had products available for sale, which we currently do not, we have not secured sales and marketing staff at this early stage of operations to sell products. We cannot generate sales without sales or marketing staff and must rely on officers to provide any sales or marketing services until such personnel are secured, if ever. If we fail to hire and retain the requisite expertise in order to market and sell our products or fail to raise sufficient capital in order to afford to pay such sales or marketing staff, then we could be forced to cease operations and you could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Even if we were to successfully develop approvable drugs, we will not be able to sell these drugs if we or our third party manufacturers fail to comply with manufacturing regulations,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If we were to successfully develop approvable drugs, before we can begin selling these drugs, we must obtain regulatory approval of our manufacturing facility and process or the manufacturing facility and process of the third party or parties with whom we may outsource our manufacturing activities. In addition, the manufacture of our products must comply with the FDA's current Good Manufacturing Practices regulations, commonly known as GMP regulations. The GMP regulations govern quality control and documentation policies and procedures. Our manufacturing facilities, if any in the future, and the manufacturing facilities of our third party manufacturers will be continually subject to inspection by the FDA and other state, local and foreign regulatory authorities, before and after product approval. We cannot guarantee that we, or any potential third party manufacturer of our products, will be able to comply with the GMP regulations or other applicable manufacturing regulations. The failure to comply with all </w:t>
      </w:r>
      <w:r w:rsidRPr="00DC6B18">
        <w:rPr>
          <w:rFonts w:ascii="Times New Roman" w:eastAsia="Times New Roman" w:hAnsi="Times New Roman" w:cs="Times New Roman"/>
          <w:sz w:val="20"/>
          <w:szCs w:val="20"/>
        </w:rPr>
        <w:lastRenderedPageBreak/>
        <w:t>necessary regulations would have a materially adverse effect on our business and could force us to cease operations and you could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must comply with significant and complex government regulations, compliance with which may delay or prevent the commercialization of our drug candidates, which could have a materially adverse effect on our business.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R&amp;D, manufacture and marketing of drug candidates are subject to regulation, primarily by the FDA in the United States and by comparable authorities in other countries. These national agencies and other federal, state, local and foreign entities regulate, among other things, R&amp;D activities (including testing in animals and in humans) and the testing, manufacturing, handling, labeling, storage, record keeping, approval, advertising and promotion of the products that we are developing. Noncompliance with applicable requirements can result in various adverse consequences, including approval delays or refusals to approve drug licenses or other applications, suspension or termination of clinical investigations, revocation of approvals previously granted, fines, criminal prosecution, recalls or seizures of products, injunctions against shipping drugs and total or partial suspension of production and/or refusal to allow a company to enter into governmental supply contracts.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process of obtaining FDA approval has historically been costly and time consuming. Current FDA requirements for a new human drug or biological product to be marketed in the United States include: (a) the successful conclusion of pre-clinical laboratory and animal tests, if appropriate, to gain preliminary information on the product's safety; (b) filing with the FDA of an IND application to conduct human clinical trials for drugs or biologics; (c) the successful completion of adequate and well-controlled human clinical investigations to establish the safety and efficacy of the product for its recommended use; and (d) filing by a company and acceptance and approval by the FDA of a New Drug Application (NDA) for a drug product or a biological license application (BLA) for a biological product to allow commercial distribution of the drug or biologic. A delay in one or more of the procedural steps outlined above could be harmful to us in terms of getting our drug candidates through clinical testing and to market, which could have a materially adverse effect on our business.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FDA reviews the results of the clinical trials and may order the temporary or permanent discontinuation of clinical trials at any time if it believes the drug candidate exposes clinical subjects to an unacceptable health risk. Investigational drugs used in clinical studies must be produced in compliance with current good manufacturing practice (GMP) rules pursuant to FDA regulations.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Sales outside the United States of products that we develop will also be subject to regulatory requirements governing human clinical trials and marketing for drugs and biological products and devices. The requirements vary widely from country to country, but typically the registration and approval process takes several years and requires significant resources.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If we experience delays or discontinuations of our clinical trials by the FDA or comparable authorities in other countries, or if we fail to obtain registration or other approvals of our products or devices then we could be forced to cease our operations and you will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have no experience in conducting or supervising clinical trials and must outsource all clinical trials which will severely limit our ability to control the compliance by subcontractors of all regulations necessary to validate our drugs in a timely manner, if at all,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Even if we are successful in developing our nano efflux pump blocker or our nanoantibiotics, we have no experience in conducting or supervising clinical trials that must be performed to obtain data to submit in concert with applications for approval by the FDA. The regulatory process to obtain approval for drugs for commercial sale involves numerous steps. Drugs are subjected to clinical trials that allow development of case studies to examine safety, efficacy, and other issues to ensure that sale of drugs meets the requirements set forth by various governmental agencies, including the FDA. In the event that our protocols do not meet standards set forth by the FDA, or that our data is not sufficient to allow such trials to validate our drugs in the face of such examination, we might not be able to meet the requirements that allow our drugs to be approved for sale which could have a materially adverse affect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Because we have no experience in conducting or supervising clinical trials, we will need to outsource our clinical trials to third parties. We have limited control over their compliance with procedures and protocols used to complete clinical trials in accordance with standards required by the agencies that approve drugs for sale. If these subcontractors fail to meet these standards, the validation of our drugs would be adversely effected, causing a delay in or indefinitely prohibiting our ability to meet revenue-generating operations and we could be forced to cease operations and you could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can provide no assurance that our drug candidates will obtain regulatory approval or that the results of clinical studies will be favorable.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business plan we have developed for the next twelve months is to engage an outside vendor capable of providing the research needed for a future filing of an Investigational New Drug (IND) application for our portfolio of nanoantibiotic drugs. We need to undertake studies in animal models to obtain necessary data regarding efficacy, pharmaco-kinetic, and pharmaco-dynamic profiles of our drug candidates. The data will then be used to file an IND application, towards the goal of obtaining FDA approval for testing the drugs in human patients.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testing, marketing and manufacturing of any product for use in the United States will require approval from the FDA. We cannot predict with any certainty the amount of time necessary to obtain such FDA approval and whether any such approval will ultimately be granted. Preclinical and clinical trials may reveal that one or more products are ineffective or unsafe, in which event further development of such products could be seriously delayed or terminated. Moreover, obtaining approval for certain products may require testing on human subjects of substances whose effects on humans are not fully understood or documented. Delays in obtaining FDA or any other necessary regulatory approvals of any proposed drug and failure to receive such approvals would have an adverse effect on the drug's potential commercial success and on our business, prospects, financial condition and results of operations. In addition, it is possible that a proposed drug may be found to be ineffective or unsafe due to conditions or facts that arise after development has been completed and regulatory approvals have been obtained. In this event, we may be required to withdraw such proposed drug from the market. To the extent that our success will depend on any regulatory approvals from government authorities outside of the United States that perform roles similar to that of the FDA, uncertainties similar to those stated above will also exist and should it result in our drug candidates failing to receive regulatory approval you could lose all of your investment.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-17-</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 Company does not currently have product liability insurance and is therefore exposed to product liability, preclinical and clinical liability risks which could place a substantial financial burden upon the Company and which could cause you to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does not currently have product liability insurance or other liability insurance relating to clinical trials or to the marketing of any products or compounds. The Company cannot assure you that it will be able to obtain or maintain adequate product liability insurance on acceptable terms, if at all, or that such insurance will provide adequate coverage against the Company's potential liabilities. Claims or losses as a result of such may have a material adverse effect on our business, financial condition and results of operations and you could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Confidentiality agreements with employees and others may not adequately prevent disclosure of trade secrets and other proprietary information and disclosure of our trade secrets or proprietary information could compromise any competitive advantage that we have,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depend heavily upon confidentiality agreements with our officers, employees, consultants and subcontractors to maintain the proprietary nature of our technology. These measures may not afford us complete or even sufficient protection, and may not afford an adequate remedy in the event of an unauthorized disclosure of confidential information. In addition, others may independently develop technology similar to ours, otherwise avoiding the confidentiality agreements, or produce patents that would materially and adversely affect our business, prospects, financial condition and results of operations in which event and you could lose all of your investment.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lastRenderedPageBreak/>
        <w:t>We may be unable to obtain or protect intellectual property rights relating to our products, and we may be liable for infringing upon the intellectual property rights of others, which could have a materially adverse effect on our business.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Our ability to compete effectively will depend on our ability to maintain the proprietary nature of our technologies. Although we expect to file a number of patent applications in the coming years, we have not filed any patent applications on our intellectual property to date. Even if we do file patent applications, there can be no assurance that the applications will ultimately result in the issuance of a patent with respect to the technology owned by us or licensed to us. The patent position of pharmaceutical or biotechnology companies, including ours, is generally uncertain and involves complex legal and factual considerations. The standards that the United States Patent and Trademark Office use to grant patents are not always applied predictably or uniformly and can change. There is also no uniform, worldwide policy regarding the subject matter and scope of claims granted or allowable in pharmaceutical or biotechnology patents. Accordingly, we do not know the degree of future protection for our proprietary rights or the breadth of claims that will be allowed in any patents issued to us or to others. Further, we rely on a combination of trade secrets, know-how, technology and nondisclosure, and other contractual agreements and technical measures to protect our rights in the technology. If any trade secret, know-how or other technology not protected by a patent were to be disclosed to or independently developed by a competitor, our business and financial condition could be materially adversely affected.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do not believe that any of the drug candidates we are currently developing infringe upon the rights of any third parties nor are they infringed upon by third parties. However, there can be no assurance that our technology will not be found in the future to infringe upon the rights of others or be infringed upon by others. In such a case, others may assert infringement claims against us, and should we be found to infringe upon their patents, or otherwise impermissibly utilize their intellectual property, we might be forced to pay damages, potentially including treble damages, if we are found to have willfully infringed on such parties' patent rights. In addition to any damages we might have to pay, we may be required to obtain licenses from the holders of this intellectual property, enter into royalty agreements, or redesign our drug candidates so as not to utilize this intellectual property, each of which may prove to be uneconomical or otherwise impossible. Conversely, we may not always be able to successfully pursue our claims against others that infringe upon our technology. Thus, the proprietary nature of our technology or technology licensed by us may not provide adequate protection against competitors.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-18-</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Moreover, the cost to us of any litigation or other proceeding relating to our patents and other intellectual property rights, even if resolved in our favor, could be substantial, and the litigation would divert our management's efforts. Uncertainties resulting from the initiation and continuation of any litigation could limit our ability to continue our operations and you could lose all of your investment.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depend upon our management and their loss or unavailability could put us at a competitive disadvantage which could have a material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currently depend upon the efforts and abilities of our management team of Rajah Menon, our President and a Director, and Elliot Ehrlich, our Chief Executive Officer, Chief Financial Officer, Treasurer, Corporate Secretary and Chairman of the Board. Mr. Menon serves the Company part-time. The loss or unavailability of the services of either of these individuals for any significant period of time could have a material adverse effect on our business, prospects, financial condition and results of operations which may cause you to lose all of your investment. We have not obtained, do not own, nor are we the beneficiary of key-person life insurance.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may not be able to attract and retain highly skilled personnel,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Our ability to attract and retain highly skilled personnel is critical to our operations and expansion. We face competition for these types of personnel from other pharmaceutical companies and more established organizations, many of which have significantly larger operations and greater financial, technical, human and other resources than us. We may not be successful in attracting and retaining qualified personnel on a timely basis, on competitive terms, </w:t>
      </w:r>
      <w:r w:rsidRPr="00DC6B18">
        <w:rPr>
          <w:rFonts w:ascii="Times New Roman" w:eastAsia="Times New Roman" w:hAnsi="Times New Roman" w:cs="Times New Roman"/>
          <w:sz w:val="20"/>
          <w:szCs w:val="20"/>
        </w:rPr>
        <w:lastRenderedPageBreak/>
        <w:t>or at all. If we are not successful in attracting and retaining these personnel, our business, prospects, financial condition and results of operations will be materially and adversely affected.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 biotechnology and biopharmaceutical industries are characterized by rapid technological developments and a high degree of competition. We may be unable to compete with enterprises equipped with more substantial resources than us, which could cause us to curtail or cease operations.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biotechnology and biopharmaceutical industries are characterized by rapid technological developments and a high degree of competition based primarily on scientific and technological factors. These factors include the availability of patent and other protection for technology and products, the ability to commercialize technological developments and the ability to obtain government approval for testing, manufacturing and marketing.</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compete with biopharmaceutical firms in the United States, Europe and elsewhere, as well as a growing number of large pharmaceutical companies that are applying biotechnology to their operations. Many biopharmaceutical companies have focused their development efforts in the human therapeutics area, including antibiotics. Many major pharmaceutical companies have developed or acquired internal biotechnology capabilities or made commercial arrangements with other biopharmaceutical companies. These companies, as well as academic institutions, government agencies and private research organizations, also compete with us in recruiting and retaining highly qualified scientific personnel and consultants. Our ability to compete successfully with other companies in the pharmaceutical field will also depend to a considerable degree on the continuing availability of capital to us.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aware of numerous products under development or manufactured by competitors that are used for the treatment of bacterial diseases we have targeted for drug development. The field of antibiotics is one of the most competitive segments of the pharmaceutical business. Numerous companies including Cubist Pharmaceuticals, Nabriva Therapeutics, Forest Laboratories, Theravance, Trius Therapeutics, Basilea Pharmaceutical, Teva Pharmaceuticals, Eli Lilly and Company, Pfizer, Roche, Salix Pharmaceuticals and Viropharma Pharmaceuticals are developing biopharmaceutical products that potentially directly compete with our drug candidates even though their approach to such treatment is different.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-19-</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With respect to our nanoantibiotics, the three major branded antibiotics used for the treatment of serious infections, that we are aware of are Zyvox (linezolid), Cubicin (daptomycin) and Tygacil (tigecycline). In addition, there were over four million courses of vancomycin, a generic drug used to treat serious infections caused by resistant gram-positive bacteria like MRSA, dosed in 2009.</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Our competition will be determined in part by the potential indications for which drugs are developed and ultimately approved by regulatory authorities. Additionally, the timing of the market introduction of some of our potential drugs or of competitors' products may be an important competitive factor. Accordingly, the relative speed with which we can develop drugs, complete pre-clinical testing, clinical trials, approval processes and supply commercial quantities to market are important competitive factors. We expect that competition among drugs approved for sale will be based on various factors, including product efficacy, safety, reliability, availability, price and patent protection.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successful development of biopharmaceuticals is highly uncertain. A variety of factors including, pre-clinical study results or regulatory approvals, could cause us to abandon the development of our drug candidates.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xml:space="preserve">Successful development of biopharmaceuticals is highly uncertain and is dependent on numerous factors, many of which are beyond our control.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Products that appear promising in the early phases of development may fail to reach the market for several reasons. Pre-clinical study results that may show the product to be less effective than desired (e.g., the study failed to meet its primary objectives) or to have harmful or problematic side effects. Products may fail to receive the necessary regulatory approvals or may be delayed in receiving such approvals. Among other things, such delays may be caused by slow enrollment in clinical studies, length of time to achieve study endpoints, additional time requirements for data analysis or a IND and later NDA, preparation, discussions with the FDA, an FDA request for additional pre-clinical or clinical data or unexpected safety or manufacturing issues; manufacturing costs, pricing or reimbursement issues, </w:t>
      </w:r>
      <w:r w:rsidRPr="00DC6B18">
        <w:rPr>
          <w:rFonts w:ascii="Times New Roman" w:eastAsia="Times New Roman" w:hAnsi="Times New Roman" w:cs="Times New Roman"/>
          <w:sz w:val="20"/>
          <w:szCs w:val="20"/>
        </w:rPr>
        <w:lastRenderedPageBreak/>
        <w:t>or other factors that make the product not economical. Proprietary rights of others and their competing products and technologies may also prevent the product from being commercialized.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Success in pre-clinical and early clinical studies does not ensure that large-scale clinical studies will be successful. Clinical results are frequently susceptible to varying interpretations that may delay, limit or prevent regulatory approvals. The length of time necessary to complete clinical studies and to submit an application for marketing approval for a final decision by a regulatory authority varies significantly from one product to the next, and may be difficult to predict. There can be no assurance that any of our products will develop successfully, and the failure to develop our products will have a materially adverse effect on our business and will cause you to lose all of your investment.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xml:space="preserve">There are conflicts of interest among our officers, directors and stockholders.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Certain of our executive officers and directors and their affiliates are engaged in other activities and have interests in other entities on their own behalf or on behalf of other persons. Neither we nor any of our shareholders will have any rights in these ventures or their income or profits. In particular, our executive officers or directors or their affiliates may have an economic interest in or other business relationship with partner companies that invest in us or are engaged in competing drug development. Presently, Kard Scientific, a contract research organization for the biotech industry is a company controlled by Rajah Menon, our President and Director. We have not yet engaged or contracted with Kard to conduct any studies, however in the future we may decide to do so. Our executive officers or directors may have conflicting fiduciary duties to us and third parties. The terms of transactions with third parties may not be subject to arm's length negotiations and therefore may be on terms less favorable to us than those that could be procured through arm's length negotiations. Although the Company is not aware of any conflict that has arisen to date, we do not have any policy in place to deal with such should such a conflict arise.</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-20-</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xml:space="preserve">We may enter into employment agreements with our executive officers and compensation payable thereunder may not be based on arms-length negotiations. </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current executive officers also serve as directors of the Company, and the Company does not have an independent compensation committee to determine compensation and to approve employment agreements. Therefore, compensation which may be paid by the Company to its management may not be determined based on arms-length negotiations. The Company may grant stock options and other equity incentives to its executive officers and directors that are consistent with the nature of the pharmaceutical industry. There can be no assurance made that the consideration which may be payable to management will reflect the true market value of services provided to the Company.</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RISKS RELATING TO OUR COMMON STOCK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xml:space="preserve">There is a risk of dilution of your percentage ownership of Common Stock in the Company.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has the right to raise additional capital or incur borrowings from third parties to finance its business. The Company may also implement public or private mergers, business combinations, business acquisitions and similar transactions pursuant to which it would issue substantial additional capital stock to outside parties, causing substantial dilution in the ownership of the Company by its existing stockholders. Our Board of Directors has the authority, without the consent of any of the stockholders, to cause the Company to issue more shares of Common Stock and/or preferred stock at such price and on such terms and conditions as are determined by the Board in its sole discretion. The issuance of additional shares of capital stock by the Company will dilute your ownership percentage in the Company and could impair our ability to raise capital in the future through the sale of equity securities.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Certain stockholders who are also officers and directors of the Company may have significant control over our management.</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The directors and executive officers of the Company own more than 39.05% of the Common Stock of the Company. Certain immediate family members of our officers and directors own an aggregate 43,870,000 shares, which currently </w:t>
      </w:r>
      <w:r w:rsidRPr="00DC6B18">
        <w:rPr>
          <w:rFonts w:ascii="Times New Roman" w:eastAsia="Times New Roman" w:hAnsi="Times New Roman" w:cs="Times New Roman"/>
          <w:sz w:val="20"/>
          <w:szCs w:val="20"/>
        </w:rPr>
        <w:lastRenderedPageBreak/>
        <w:t>constitutes 50.39% of our common stock, however our officers and directors specifically disclaim any beneficial ownership in such shares (see “Certain Relationships and Related Party Transactions”). Our officers, directors and their immediate family members currently own 89.44% of the outstanding shares of our common stock. As a result, such entities may have a significant influence on the affairs and management of the Company, as well as on all matters requiring member approval, including electing and removing members of the Company’s Board of Directors, causing the Company to engage in transactions with affiliated entities, causing or restricting the sale or merger of the Company, and certain other matters. Such concentration of ownership and control could have the effect of delaying, deferring or preventing a change in control of the Company even when such a change of control would be in the best interests of the Company’s stockholders.</w:t>
      </w:r>
    </w:p>
    <w:p w:rsidR="00DC6B18" w:rsidRPr="00DC6B18" w:rsidRDefault="00DC6B18" w:rsidP="00DC6B18">
      <w:pPr>
        <w:spacing w:after="0" w:line="240" w:lineRule="auto"/>
        <w:ind w:firstLine="720"/>
        <w:rPr>
          <w:rFonts w:ascii="Calibri" w:eastAsia="Times New Roman" w:hAnsi="Calibri" w:cs="Times New Roman"/>
        </w:rPr>
      </w:pPr>
      <w:r w:rsidRPr="00DC6B18">
        <w:rPr>
          <w:rFonts w:ascii="Calibri" w:eastAsia="Times New Roman" w:hAnsi="Calibri" w:cs="Times New Roman"/>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There is no liquidity and no established public market for our Common Stock and we may not be successful at obtaining a quotation on a recognized quotation service. In such event it may be difficult for you to sell your shares.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There is presently no public market in our shares. There can be no assurance that we will be successful at developing a public market or in having our Common Stock quoted on a quotation facility such as the OTC Bulletin Board. There are risks associated with obtaining a quotation, including that broker dealers will not be willing to make a market in our shares, or to request that our shares be quoted on a quotation service. In addition, even if a quotation is obtained, the OTC Bulletin Board and similar quotation services are often characterized by low trading volumes, and price volatility, which may make it difficult for an investor to sell our Common Stock on acceptable terms. If trades in our Common Stock are not quoted on a quotation facility, it may be very difficult for an investor to find a buyer for their shares in our Company.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-21-</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Our Common Stock is subject to the “penny stock” rules of the SEC and the trading market in our securities is limited, which makes transactions in our stock cumbersome and may reduce the value of an investment in our stock.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Under U.S. federal securities legislation, our Common Stock will constitute “penny stock”. Penny stock is any equity security that has a market price of less than $5.00 per share, subject to certain exceptions. For any transaction involving a penny stock, unless exempt, the rules require that a broker or dealer approve a potential investor’s account for transactions in penny stocks, and the broker or dealer receive from the investor a written agreement to the transaction, setting forth the identity and quantity of the penny stock to be purchased. In order to approve an investor’s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 The broker or dealer must also deliver, prior to any transaction in a penny stock, a disclosure schedule prepared by the Securities and Exchange Commission relating to the penny stock market, which, in highlight form sets forth the basis on which the broker or dealer made the suitability determination. Brokers may be less willing to execute transactions in securities subject to the “penny stock” rules. This may make it more difficult for investors to dispose of our common stock and cause a decline in the market value of our stock. Disclosure also has to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have to be sent disclosing recent price information for the penny stock held in the account and information on the limited market in penny stocks.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may, in the future, issue additional common stock, which would reduce investors’ percent of ownership and may dilute our share value.</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Our Articles of Incorporation authorize the issuance of 300,000,000 shares of Common Stock. As of June 30, 2015, the Company had 87,210,000 shares of Common Stock outstanding. Accordingly, we may issue up to an additional 212,790,000 shares of Common Stock. The future issuance of Common Stock may result in substantial dilution in the percentage of our Common Stock held by our then existing shareholders. We may value any Common Stock in the future on an arbitrary basis. The issuance of Common Stock for future services or acquisitions or other corporate actions may have the effect of diluting the value of the shares held by our investors, might have an adverse effect on </w:t>
      </w:r>
      <w:r w:rsidRPr="00DC6B18">
        <w:rPr>
          <w:rFonts w:ascii="Times New Roman" w:eastAsia="Times New Roman" w:hAnsi="Times New Roman" w:cs="Times New Roman"/>
          <w:sz w:val="20"/>
          <w:szCs w:val="20"/>
        </w:rPr>
        <w:lastRenderedPageBreak/>
        <w:t>any trading market for our Common Stock and could impair our ability to raise capital in the future through the sale of equity securities.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have a large number of restricted shares outstanding, a portion of which may be sold under Rule 144 which may reduce the market price of our shares.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Of the 87,210,000 shares of Common Stock currently issued and outstanding, and assuming no Warrants are exercised, 29,190,000 shares are held by non-affiliates and 52,870,000 are owned by affiliates of the Company, consisting of our officers and directors and a large shareholder. All of these securities are deemed “restricted securities” within the meaning of Rule 144 as promulgated under the Securities Act. Other than the 5,000,000 shares previously issued to the selling security holders in the Private Placement and other than the 5,000,000 shares underlying the Warrants purchased in the Private Placement, none of the above described shares are being offered for sale in this prospectus. Consequently, the sale of such shares is subject to Rule 144.</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It is anticipated that all of the “restricted securities” will be eligible for resale under Rule 144. In general, under Rule 144, subject to the satisfaction of certain other conditions, a person, who is not an affiliate (and who has not been an affiliate for a period of at least three months immediately preceding the sale) and who has beneficially owned restricted shares of our common stock for at least six months is permitted to sell such shares without restriction, provided that there is sufficient public information about us as contemplated by Rule 144. An affiliate who has beneficially owned restricted shares of our common stock for a period of at least one year may sell a number of shares equal to one percent of our issued and outstanding common stock approximately every three months.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r w:rsidRPr="00DC6B18">
        <w:rPr>
          <w:rFonts w:ascii="Times New Roman" w:eastAsia="Times New Roman" w:hAnsi="Times New Roman" w:cs="Times New Roman"/>
          <w:sz w:val="20"/>
          <w:szCs w:val="20"/>
        </w:rPr>
        <w:br w:type="textWrapping" w:clear="all"/>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-22-</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respective holding periods for the shares issued to affiliates and non-affiliates holding restricted securities commenced and were issued between May 17, 2013 and June 30, 2013. The possibility that substantial amounts of our Common Stock may be sold under Rule 144 into the public market may adversely affect prevailing market prices for the Common Stock and could impair our ability to raise capital in the future through the sale of equity securities.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 lack of public company experience of our management team could adversely impact our ability to comply with the reporting requirements of U.S. securities laws, which could have a materially adverse effect on our business.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Our officers lack public company experience, which could impair our ability to comply with legal and regulatory requirements such as those imposed by Sarbanes-Oxley Act of 2002. Our two officers and directors have never been responsible for managing a publicly traded company. Such responsibilities include complying with federal securities laws and making required disclosures on a timely basis. Any such deficiencies, weaknesses or lack of compliance could have a materially adverse effect on our ability to comply with the reporting requirements of the Securities Exchange Act of 1934, as amended (the “Exchange Act”), which is necessary to maintain our public company status. If we were to fail to fulfill those obligations, our ability to continue as a U.S. public company would be in jeopardy in which event you could lose your entire investment in our Company.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 Company is considered a smaller reporting company and is exempt from certain disclosure requirements, which could make our stock less attractive to potential investors.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Rule 12b-2 of the Exchange Act defines a “smaller reporting company” as an issuer that is not an investment company, an asset-backed issuer), or a majority-owned subsidiary of a parent that is not a smaller reporting company and that: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DC6B18" w:rsidRPr="00DC6B18" w:rsidTr="00DC6B18">
        <w:tc>
          <w:tcPr>
            <w:tcW w:w="3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7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Had a public float of less than $75 million as of the last business day of its most recently completed second fiscal quarter, computed by multiplying the aggregate worldwide number of shares of its voting and non-voting common equity held by non-affiliates by the price at which the common equity was last sold, or the average of the bid and asked prices of common equity, in the principal market for the common equity; or</w:t>
            </w:r>
          </w:p>
        </w:tc>
      </w:tr>
    </w:tbl>
    <w:p w:rsidR="00DC6B18" w:rsidRPr="00DC6B18" w:rsidRDefault="00DC6B18" w:rsidP="00DC6B18">
      <w:pPr>
        <w:spacing w:after="0" w:line="240" w:lineRule="auto"/>
        <w:ind w:firstLine="720"/>
        <w:jc w:val="both"/>
        <w:rPr>
          <w:rFonts w:ascii="Calibri" w:eastAsia="Times New Roman" w:hAnsi="Calibri" w:cs="Times New Roman"/>
        </w:rPr>
      </w:pPr>
      <w:r w:rsidRPr="00DC6B18">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562"/>
        <w:gridCol w:w="8798"/>
      </w:tblGrid>
      <w:tr w:rsidR="00DC6B18" w:rsidRPr="00DC6B18" w:rsidTr="00DC6B18">
        <w:tc>
          <w:tcPr>
            <w:tcW w:w="3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7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 xml:space="preserve">In the case of an initial registration statement under the Securities Act or Exchange Act for shares of its common equity, had a public float of less than $75 million as of a date within 30 days of the date of the filing of the </w:t>
            </w:r>
            <w:r w:rsidRPr="00DC6B18">
              <w:rPr>
                <w:rFonts w:ascii="Times New Roman" w:eastAsia="Times New Roman" w:hAnsi="Times New Roman" w:cs="Times New Roman"/>
                <w:sz w:val="20"/>
                <w:szCs w:val="20"/>
              </w:rPr>
              <w:lastRenderedPageBreak/>
              <w:t>registration statement, computed by multiplying the aggregate worldwide number of such shares held by non-affiliates before the registration plus, in the case of a Securities Act registration statement, the number of such shares included in the registration statement by the estimated public offering price of the shares; or</w:t>
            </w:r>
          </w:p>
        </w:tc>
      </w:tr>
    </w:tbl>
    <w:p w:rsidR="00DC6B18" w:rsidRPr="00DC6B18" w:rsidRDefault="00DC6B18" w:rsidP="00DC6B18">
      <w:pPr>
        <w:spacing w:after="0" w:line="240" w:lineRule="auto"/>
        <w:ind w:firstLine="720"/>
        <w:jc w:val="both"/>
        <w:rPr>
          <w:rFonts w:ascii="Calibri" w:eastAsia="Times New Roman" w:hAnsi="Calibri" w:cs="Times New Roman"/>
        </w:rPr>
      </w:pPr>
      <w:r w:rsidRPr="00DC6B18">
        <w:rPr>
          <w:rFonts w:ascii="Calibri" w:eastAsia="Times New Roman" w:hAnsi="Calibri" w:cs="Times New Roman"/>
        </w:rPr>
        <w:lastRenderedPageBreak/>
        <w:t> </w:t>
      </w:r>
    </w:p>
    <w:tbl>
      <w:tblPr>
        <w:tblW w:w="5000" w:type="pct"/>
        <w:tblCellMar>
          <w:left w:w="0" w:type="dxa"/>
          <w:right w:w="0" w:type="dxa"/>
        </w:tblCellMar>
        <w:tblLook w:val="04A0" w:firstRow="1" w:lastRow="0" w:firstColumn="1" w:lastColumn="0" w:noHBand="0" w:noVBand="1"/>
      </w:tblPr>
      <w:tblGrid>
        <w:gridCol w:w="562"/>
        <w:gridCol w:w="8798"/>
      </w:tblGrid>
      <w:tr w:rsidR="00DC6B18" w:rsidRPr="00DC6B18" w:rsidTr="00DC6B18">
        <w:tc>
          <w:tcPr>
            <w:tcW w:w="3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7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In the case of an issuer whose public float as calculated under paragraph (1) or (2) of this definition was zero, had annual revenues of less than $50 million during the most recently completed fiscal year for which audited financial statements are available.</w:t>
            </w:r>
          </w:p>
        </w:tc>
      </w:tr>
    </w:tbl>
    <w:p w:rsidR="00DC6B18" w:rsidRPr="00DC6B18" w:rsidRDefault="00DC6B18" w:rsidP="00DC6B18">
      <w:pPr>
        <w:spacing w:after="0" w:line="240" w:lineRule="auto"/>
        <w:ind w:firstLine="720"/>
        <w:jc w:val="both"/>
        <w:rPr>
          <w:rFonts w:ascii="Calibri" w:eastAsia="Times New Roman" w:hAnsi="Calibri" w:cs="Times New Roman"/>
        </w:rPr>
      </w:pPr>
      <w:r w:rsidRPr="00DC6B18">
        <w:rPr>
          <w:rFonts w:ascii="Calibri" w:eastAsia="Times New Roman" w:hAnsi="Calibri" w:cs="Times New Roman"/>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As a “smaller reporting company” (in addition to and without regard to our status as an “emerging growth company”) we are not required and may not include a Compensation Discussion and Analysis ("CD&amp;A") section in our proxy statements; we provide only 3 years of business development information; provide fewer years of selected financial data; and have other “scaled” disclosure requirements that are less comprehensive than issuers that are not “smaller reporting companies” which could make our stock less attractive to potential investors, which could make it more difficult for you to sell your shares.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 Company is considered an “emerging growth company” and we cannot be certain if the reduced disclosure requirements applicable to emerging growth companies will make our Common Stock less attractive to investors.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an “emerging growth company,” as defined in the Jumpstart our Business Startups Act of 2012, and we may take advantage of certain exemptions from various reporting requirements that are applicable to other public companies, including, but not limited to, not being required to comply with the auditor attestation requirements of Section 404 of the Sarbanes-Oxley Act, reduced disclosure obligations regarding executive compensation in our periodic reports and proxy statements, and exemptions from the requirements of holding a nonbinding advisory vote on executive compensation and shareholder approval of any golden parachute payments not previously approved.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will remain an emerging growth company until the earlier of (i) the last day of the fiscal year (A) following the fifth anniversary of our first sale of common equity securities pursuant to an effective registration statement, (B) in which we have total annual gross revenue of at least $1.0 billion, or (C) the date that we become a “large accelerated filer” as defined in Rule 12b-2 under the Exchange Act, which would occur if the market value of our common stock that is held by non-affiliates exceeds $700 million as of the last business day of our most recently completed second fiscal quarter, and (ii) the date on which we have issued more than $1.0 billion in non-convertible debt during the prior three-year period.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cannot predict if investors will find our Common Stock less attractive because we will rely on these exemptions. If some investors find our Common Stock less attractive as a result, there may be a less active trading market for our Common Stock and our stock price may be more volatile when trading occurs.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We intend to become subject to the periodic reporting requirements of the Exchange Act, which will require us to incur audit fees and legal fees in connection with the preparation of such reports. These additional costs will negatively affect our ability to earn a profit.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Following the effective date of the registration statement in which this prospectus is included, we will be required to file periodic reports with the Securities and Exchange Commission pursuant to the Exchange Act and the rules and regulations thereunder. In order to comply with such requirements, our independent registered auditors will have to review our financial statements on a quarterly basis and audit our financial statements on an annual basis. Moreover, our legal counsel will have to review and assist in the preparation of such reports. Factors such as the number and type of transactions that we engage in and the complexity of our reports cannot accurately be determined at this time and may have a major negative effect on the cost and amount of time to be spent by our auditors and attorneys. However, the incurrence of such costs will be an expense to our operations and thus have a negative effect on our ability to meet our overhead requirements and earn a profit.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However, for as long as we remain an “emerging growth company” we intend to take advantage of certain exemptions from various reporting requirements until we are no longer an “emerging growth company.”</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We also qualify as a smaller reporting company, and so long as we remain a smaller reporting company, we benefit from the same exemptions and exclusions as an emerging growth company. In the event that we cease to be an emerging growth company as a result of a lapse of the five year period, but continue to be a smaller reporting company, we would continue to be subject to the exemptions available to emerging growth companies until such time as we were no longer a smaller reporting company.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After, and if ever, we are no longer an “emerging growth company,” we expect to incur significant additional expenses and devote substantial management effort toward ensuring compliance with those requirements applicable to companies that are not “emerging growth companies,” including Section 404 of the Sarbanes-Oxley Act.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The JOBS Act allows us to delay the adoption of new or revised accounting standards that have different effective dates for public and private companies, which means that our financial statements may not be comparable to companies that comply with public company effective dates, which could make our Common Stock less attractive to investors.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-24-</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Since, we have elected to use the extended transition period for complying with new or revised accounting standards under Section 102(b)(1) of the JOBS Act, this election allows us to delay the adoption of new or revised accounting standards that have different effective dates for public and private companies until those standards apply to private companies. As a result of this election, our financial statements may not be comparable to companies that comply with public company effective dates.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Because we do not intend to pay any cash dividends on our common stock, our stockholders will not be able to receive a return on their shares unless they sell them.</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intend to retain any future earnings to finance the development and expansion of our business. We do not anticipate paying any cash dividends on our common stock in the foreseeable future. Unless we pay dividends, our stockholders will not be able to receive a return on their shares unless they sell them. There is no assurance that stockholders will be able to sell shares when desired.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3" w:name="a_004"/>
      <w:bookmarkEnd w:id="3"/>
      <w:r w:rsidRPr="00DC6B18">
        <w:rPr>
          <w:rFonts w:ascii="Times New Roman" w:eastAsia="Times New Roman" w:hAnsi="Times New Roman" w:cs="Times New Roman"/>
          <w:b/>
          <w:bCs/>
          <w:sz w:val="20"/>
          <w:szCs w:val="20"/>
        </w:rPr>
        <w:t>ITEM 1B.</w:t>
      </w:r>
      <w:r w:rsidRPr="00DC6B18">
        <w:rPr>
          <w:rFonts w:ascii="Times New Roman" w:eastAsia="Times New Roman" w:hAnsi="Times New Roman" w:cs="Times New Roman"/>
          <w:b/>
          <w:bCs/>
          <w:sz w:val="20"/>
          <w:szCs w:val="20"/>
        </w:rPr>
        <w:tab/>
        <w:t>UNRESOLVED STAFF COMMENTS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None.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4" w:name="a_005"/>
      <w:bookmarkEnd w:id="4"/>
      <w:r w:rsidRPr="00DC6B18">
        <w:rPr>
          <w:rFonts w:ascii="Times New Roman" w:eastAsia="Times New Roman" w:hAnsi="Times New Roman" w:cs="Times New Roman"/>
          <w:b/>
          <w:bCs/>
          <w:sz w:val="20"/>
          <w:szCs w:val="20"/>
        </w:rPr>
        <w:t>ITEM 2.</w:t>
      </w:r>
      <w:r w:rsidRPr="00DC6B18">
        <w:rPr>
          <w:rFonts w:ascii="Times New Roman" w:eastAsia="Times New Roman" w:hAnsi="Times New Roman" w:cs="Times New Roman"/>
          <w:b/>
          <w:bCs/>
          <w:sz w:val="20"/>
          <w:szCs w:val="20"/>
        </w:rPr>
        <w:tab/>
        <w:t>DESCRIPTION OF PROPERTY</w:t>
      </w:r>
    </w:p>
    <w:p w:rsidR="00DC6B18" w:rsidRPr="00DC6B18" w:rsidRDefault="00DC6B18" w:rsidP="00DC6B18">
      <w:pPr>
        <w:spacing w:after="0" w:line="240" w:lineRule="auto"/>
        <w:ind w:firstLine="720"/>
        <w:rPr>
          <w:rFonts w:ascii="Times New Roman" w:eastAsia="Times New Roman" w:hAnsi="Times New Roman" w:cs="Times New Roman"/>
          <w:sz w:val="16"/>
          <w:szCs w:val="16"/>
        </w:rPr>
      </w:pPr>
      <w:r w:rsidRPr="00DC6B18">
        <w:rPr>
          <w:rFonts w:ascii="Times New Roman" w:eastAsia="Times New Roman" w:hAnsi="Times New Roman" w:cs="Times New Roman"/>
          <w:sz w:val="16"/>
          <w:szCs w:val="16"/>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DC6B18" w:rsidRPr="00DC6B18" w:rsidRDefault="00DC6B18" w:rsidP="00DC6B18">
      <w:pPr>
        <w:spacing w:after="0" w:line="240" w:lineRule="auto"/>
        <w:ind w:firstLine="720"/>
        <w:jc w:val="both"/>
        <w:rPr>
          <w:rFonts w:ascii="Calibri" w:eastAsia="Times New Roman" w:hAnsi="Calibri" w:cs="Times New Roman"/>
        </w:rPr>
      </w:pPr>
      <w:r w:rsidRPr="00DC6B18">
        <w:rPr>
          <w:rFonts w:ascii="Calibri" w:eastAsia="Times New Roman" w:hAnsi="Calibri" w:cs="Times New Roman"/>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5" w:name="a_006"/>
      <w:bookmarkEnd w:id="5"/>
      <w:r w:rsidRPr="00DC6B18">
        <w:rPr>
          <w:rFonts w:ascii="Times New Roman" w:eastAsia="Times New Roman" w:hAnsi="Times New Roman" w:cs="Times New Roman"/>
          <w:b/>
          <w:bCs/>
          <w:sz w:val="20"/>
          <w:szCs w:val="20"/>
        </w:rPr>
        <w:t>ITEM 3.</w:t>
      </w:r>
      <w:r w:rsidRPr="00DC6B18">
        <w:rPr>
          <w:rFonts w:ascii="Times New Roman" w:eastAsia="Times New Roman" w:hAnsi="Times New Roman" w:cs="Times New Roman"/>
          <w:b/>
          <w:bCs/>
          <w:sz w:val="20"/>
          <w:szCs w:val="20"/>
        </w:rPr>
        <w:tab/>
        <w:t>LEGAL PROCEEDINGS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6" w:name="a_007"/>
      <w:bookmarkEnd w:id="6"/>
      <w:r w:rsidRPr="00DC6B18">
        <w:rPr>
          <w:rFonts w:ascii="Times New Roman" w:eastAsia="Times New Roman" w:hAnsi="Times New Roman" w:cs="Times New Roman"/>
          <w:b/>
          <w:bCs/>
          <w:sz w:val="20"/>
          <w:szCs w:val="20"/>
        </w:rPr>
        <w:t>ITEM 4.</w:t>
      </w:r>
      <w:r w:rsidRPr="00DC6B18">
        <w:rPr>
          <w:rFonts w:ascii="Times New Roman" w:eastAsia="Times New Roman" w:hAnsi="Times New Roman" w:cs="Times New Roman"/>
          <w:b/>
          <w:bCs/>
          <w:sz w:val="20"/>
          <w:szCs w:val="20"/>
        </w:rPr>
        <w:tab/>
        <w:t>MINE SAFETY DISCLOSURE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None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-25-</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lastRenderedPageBreak/>
        <w:t>PART II</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7" w:name="a_008"/>
      <w:bookmarkEnd w:id="7"/>
      <w:r w:rsidRPr="00DC6B18">
        <w:rPr>
          <w:rFonts w:ascii="Times New Roman" w:eastAsia="Times New Roman" w:hAnsi="Times New Roman" w:cs="Times New Roman"/>
          <w:b/>
          <w:bCs/>
          <w:sz w:val="20"/>
          <w:szCs w:val="20"/>
        </w:rPr>
        <w:t>ITEM 5.</w:t>
      </w:r>
      <w:r w:rsidRPr="00DC6B18">
        <w:rPr>
          <w:rFonts w:ascii="Times New Roman" w:eastAsia="Times New Roman" w:hAnsi="Times New Roman" w:cs="Times New Roman"/>
          <w:b/>
          <w:bCs/>
          <w:sz w:val="20"/>
          <w:szCs w:val="20"/>
        </w:rPr>
        <w:tab/>
        <w:t>MARKET FOR COMMON EQUITY AND RELATED STOCKHOLDER MATTERS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Common Stock trades on the over-the-counter market (OTC) under the symbol “NNAB.” The following table sets forth the range of high and low closing bid quotations of the Common Stock as reported by the OTC for each fiscal quarter for the years ended June 30, 2015 and 2014. High and low bid quotations reflect inter-dealer prices without adjustment for retail mark-ups, markdowns or commissions and may not necessarily represent actual transactions.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924"/>
        <w:gridCol w:w="92"/>
        <w:gridCol w:w="100"/>
        <w:gridCol w:w="934"/>
        <w:gridCol w:w="92"/>
        <w:gridCol w:w="92"/>
        <w:gridCol w:w="100"/>
        <w:gridCol w:w="934"/>
        <w:gridCol w:w="92"/>
      </w:tblGrid>
      <w:tr w:rsidR="00DC6B18" w:rsidRPr="00DC6B18" w:rsidTr="00DC6B18">
        <w:tc>
          <w:tcPr>
            <w:tcW w:w="37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0" w:type="pct"/>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 w:type="pct"/>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5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gridSpan w:val="6"/>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Bid Prices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Low</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gridSpan w:val="2"/>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High</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May 4, 2014 through June 30, 2014</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0.10</w:t>
            </w:r>
          </w:p>
        </w:tc>
        <w:tc>
          <w:tcPr>
            <w:tcW w:w="0" w:type="auto"/>
            <w:vAlign w:val="center"/>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0.50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Quarter ended June 30, 2015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0.14</w:t>
            </w:r>
          </w:p>
        </w:tc>
        <w:tc>
          <w:tcPr>
            <w:tcW w:w="0" w:type="auto"/>
            <w:vAlign w:val="center"/>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40"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0.25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Quarter ended March 31, 2015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0.22</w:t>
            </w:r>
          </w:p>
        </w:tc>
        <w:tc>
          <w:tcPr>
            <w:tcW w:w="0" w:type="auto"/>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0.47</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Quarter ended December 31, 2014</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0.10</w:t>
            </w:r>
          </w:p>
        </w:tc>
        <w:tc>
          <w:tcPr>
            <w:tcW w:w="0" w:type="auto"/>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0.45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Quarter September 30, 2014</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0.20</w:t>
            </w:r>
          </w:p>
        </w:tc>
        <w:tc>
          <w:tcPr>
            <w:tcW w:w="0" w:type="auto"/>
            <w:vAlign w:val="center"/>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0.47</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On June 30, 2015, the closing bid price of the Company’s Common Stock as reported by the OTC was $0.25 and there were approximately 120 shareholders of record.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DIVIDENDS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not paid any cash dividends on our common or preferred stock and do not anticipate paying any such cash dividends in the foreseeable future. Earnings, if any, will be retained to finance future growth. We may issue shares of our common stock and preferred stock in private or public offerings to obtain financing, capital or to acquire other businesses that can improve our performance and growth. Issuance and or sales of substantial amounts of common stock could adversely affect prevailing market prices in our common stock.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Common Stock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shd w:val="clear" w:color="auto" w:fill="FFFFFF"/>
        </w:rPr>
        <w:t xml:space="preserve">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prepaid expenses.  For the year ended June 30, 2015 and 2014, $7,500 and $2,589 has been expensed, respectively.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sale and issuance of securities above was deemed to be exempt from registration under the Securities Act of 1933, as amended, by virtue of Rule 506 of Regulation D promulgated there under.</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During the year ended June 30, 2015, there was no modification of any instruments issued herein for the fourth quarter, defining the rights of holders of the Company’s common stock and no limitation or qualification of the rights evidenced by the Company’s common stock as a result of the issuance of any other class of securities or the modification thereof.</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-26-</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8" w:name="a_009"/>
      <w:bookmarkEnd w:id="8"/>
      <w:r w:rsidRPr="00DC6B18">
        <w:rPr>
          <w:rFonts w:ascii="Times New Roman" w:eastAsia="Times New Roman" w:hAnsi="Times New Roman" w:cs="Times New Roman"/>
          <w:b/>
          <w:bCs/>
          <w:sz w:val="20"/>
          <w:szCs w:val="20"/>
        </w:rPr>
        <w:lastRenderedPageBreak/>
        <w:t>ITEM 6.</w:t>
      </w:r>
      <w:r w:rsidRPr="00DC6B18">
        <w:rPr>
          <w:rFonts w:ascii="Times New Roman" w:eastAsia="Times New Roman" w:hAnsi="Times New Roman" w:cs="Times New Roman"/>
          <w:b/>
          <w:bCs/>
          <w:sz w:val="20"/>
          <w:szCs w:val="20"/>
        </w:rPr>
        <w:tab/>
        <w:t>SELECTED FINANCIAL DATA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Not Required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line="240" w:lineRule="auto"/>
        <w:rPr>
          <w:rFonts w:ascii="Times New Roman" w:eastAsia="Times New Roman" w:hAnsi="Times New Roman" w:cs="Times New Roman"/>
          <w:sz w:val="20"/>
          <w:szCs w:val="20"/>
        </w:rPr>
      </w:pPr>
      <w:bookmarkStart w:id="9" w:name="a_010"/>
      <w:bookmarkEnd w:id="9"/>
      <w:r w:rsidRPr="00DC6B18">
        <w:rPr>
          <w:rFonts w:ascii="Times New Roman" w:eastAsia="Times New Roman" w:hAnsi="Times New Roman" w:cs="Times New Roman"/>
          <w:b/>
          <w:bCs/>
          <w:sz w:val="20"/>
          <w:szCs w:val="20"/>
        </w:rPr>
        <w:t>ITEM 7.</w:t>
      </w:r>
      <w:r w:rsidRPr="00DC6B18">
        <w:rPr>
          <w:rFonts w:ascii="Times New Roman" w:eastAsia="Times New Roman" w:hAnsi="Times New Roman" w:cs="Times New Roman"/>
          <w:b/>
          <w:bCs/>
          <w:sz w:val="20"/>
          <w:szCs w:val="20"/>
        </w:rPr>
        <w:tab/>
        <w:t>MANAGEMENT’S DISCUSSION AND ANALYSIS OF FINANCIAL CONDITION AND RESULTS OF OPERATIONS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-27-</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“NanoAntibiotics”, “Company”, “we”, “our”, and “us” refer to NanoAntibiotics, Inc.</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The candidates have only been studied in cell-based assays (in-vitro), and have not been studied in small animals (in-vivo) or animals with drug resistant bacteria for efficacy, efficiency and toxicity. </w:t>
      </w:r>
      <w:r w:rsidRPr="00DC6B18">
        <w:rPr>
          <w:rFonts w:ascii="Times New Roman" w:eastAsia="Times New Roman" w:hAnsi="Times New Roman" w:cs="Times New Roman"/>
          <w:color w:val="222222"/>
          <w:sz w:val="20"/>
          <w:szCs w:val="20"/>
          <w:shd w:val="clear" w:color="auto" w:fill="FFFFFF"/>
        </w:rPr>
        <w:t xml:space="preserve"> </w:t>
      </w:r>
      <w:r w:rsidRPr="00DC6B18">
        <w:rPr>
          <w:rFonts w:ascii="Times New Roman" w:eastAsia="Times New Roman" w:hAnsi="Times New Roman" w:cs="Times New Roman"/>
          <w:sz w:val="20"/>
          <w:szCs w:val="20"/>
        </w:rPr>
        <w:t xml:space="preserve">We need to license additional technology to complete our planned products. </w:t>
      </w:r>
      <w:r w:rsidRPr="00DC6B18">
        <w:rPr>
          <w:rFonts w:ascii="Times New Roman" w:eastAsia="Times New Roman" w:hAnsi="Times New Roman" w:cs="Times New Roman"/>
          <w:color w:val="222222"/>
          <w:sz w:val="20"/>
          <w:szCs w:val="20"/>
          <w:shd w:val="clear" w:color="auto" w:fill="FFFFFF"/>
        </w:rPr>
        <w:t xml:space="preserve">Presently all our research and development has been put on </w:t>
      </w:r>
      <w:r w:rsidRPr="00DC6B18">
        <w:rPr>
          <w:rFonts w:ascii="Times New Roman" w:eastAsia="Times New Roman" w:hAnsi="Times New Roman" w:cs="Times New Roman"/>
          <w:color w:val="222222"/>
          <w:sz w:val="20"/>
          <w:szCs w:val="20"/>
          <w:shd w:val="clear" w:color="auto" w:fill="FFFFFF"/>
        </w:rPr>
        <w:lastRenderedPageBreak/>
        <w:t xml:space="preserve">hold and all our efforts are on discussing and negotiating licensing rights with universities and inventors. During the course of these discussions we often learn about other opportunities in medicine targeting other diseases. These too are evaluated and considered by management. </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incurred $233,008 of operating expenses for the year ended June 30, 2015.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-28-</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Requirement for Additional Capital</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Research and Development of $750,000, which includes planned costs for licensing rights and development of its nano efflux pump inhibitor;</w:t>
            </w:r>
          </w:p>
        </w:tc>
      </w:tr>
    </w:tbl>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Corporate overhead of $50,000, which includes budgeted legal, accounting and other costs expected to be incurred;</w:t>
            </w:r>
          </w:p>
        </w:tc>
      </w:tr>
    </w:tbl>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Capital costs of $50,000, which is the estimated cost for equipment to be deployed at vendor sites to be selected; and</w:t>
            </w:r>
          </w:p>
        </w:tc>
      </w:tr>
    </w:tbl>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jc w:val="both"/>
              <w:rPr>
                <w:rFonts w:ascii="Calibri" w:eastAsia="Times New Roman" w:hAnsi="Calibri" w:cs="Times New Roman"/>
                <w:sz w:val="20"/>
                <w:szCs w:val="20"/>
              </w:rPr>
            </w:pPr>
            <w:r w:rsidRPr="00DC6B18">
              <w:rPr>
                <w:rFonts w:ascii="Times New Roman" w:eastAsia="Times New Roman" w:hAnsi="Times New Roman" w:cs="Times New Roman"/>
                <w:sz w:val="20"/>
                <w:szCs w:val="20"/>
              </w:rPr>
              <w:t>Staffing costs of $150,000.</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had approximately $267,500 of cash on hand at June 30, 2015 and will be unable to proceed with its planned drug development, meet its administrative expense requirements, capital costs, or staffing costs without obtaining additional net financing of approximately $1,000,000 to meet its budget.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is not known at this time, other than a broad outline,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Capital Resources and Liquidity</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As of June 30, 2015, we had $267,500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2015, contains an explanatory paragraph regarding a substantial doubt about our ability to continue as a going concern.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our planned antibiotics and implement our business plan. In that event, investors should anticipate that their entire investment may be lost and there may be no ability to profit from this investment.</w:t>
      </w:r>
    </w:p>
    <w:p w:rsidR="00DC6B18" w:rsidRPr="00DC6B18" w:rsidRDefault="00DC6B18" w:rsidP="00DC6B18">
      <w:pPr>
        <w:spacing w:after="0" w:line="240" w:lineRule="auto"/>
        <w:ind w:firstLine="720"/>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cannot assure you that our compounds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-29-</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If we are unable to raise additional funds, we will need to do one or more of the following:</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delay, scale-back or eliminate some or all of our research and product development programs;</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seek strategic alliances or business combinations;</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attempt to sell our company;</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cease operations; or</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DC6B18" w:rsidRPr="00DC6B18" w:rsidTr="00DC6B18">
        <w:tc>
          <w:tcPr>
            <w:tcW w:w="100" w:type="pct"/>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declare bankruptcy.</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believe that our existing cash, cash equivalents will not be sufficient to meet our operating and capital requirements until June 30, 2016.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w:t>
      </w:r>
      <w:r w:rsidRPr="00DC6B18">
        <w:rPr>
          <w:rFonts w:ascii="Times New Roman" w:eastAsia="Times New Roman" w:hAnsi="Times New Roman" w:cs="Times New Roman"/>
          <w:sz w:val="20"/>
          <w:szCs w:val="20"/>
        </w:rPr>
        <w:lastRenderedPageBreak/>
        <w:t>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Emerging Growth Company</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-30-</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Off-Balance Sheet Arrangements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Critical Accounting Policies and Estimates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believe that the following critical policies affect our more significant judgments and estimates used in preparation of our financial statements.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Research and development costs are charged to operations when incurred and are included in operating expenses.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New Accounting Pronouncements</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For a description of recent accounting standards, including the expected dates of adoption and estimated effects, if any, on our financial statements, see “Note 3: Significant Accounting Polices: Recent Accounting Standards” in Part II, Item 8 of this Form 10-K.</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0" w:name="a_011"/>
      <w:bookmarkEnd w:id="10"/>
      <w:r w:rsidRPr="00DC6B18">
        <w:rPr>
          <w:rFonts w:ascii="Times New Roman" w:eastAsia="Times New Roman" w:hAnsi="Times New Roman" w:cs="Times New Roman"/>
          <w:b/>
          <w:bCs/>
          <w:sz w:val="20"/>
          <w:szCs w:val="20"/>
        </w:rPr>
        <w:t>ITEM 7A.</w:t>
      </w:r>
      <w:r w:rsidRPr="00DC6B18">
        <w:rPr>
          <w:rFonts w:ascii="Times New Roman" w:eastAsia="Times New Roman" w:hAnsi="Times New Roman" w:cs="Times New Roman"/>
          <w:b/>
          <w:bCs/>
          <w:sz w:val="20"/>
          <w:szCs w:val="20"/>
        </w:rPr>
        <w:tab/>
        <w:t>QUANTATITATIVE AND QUALITATIVE DISCLOSURES ABOUT MARKET RISK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Not Applicable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-31-</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bookmarkStart w:id="11" w:name="a_012"/>
      <w:bookmarkEnd w:id="11"/>
      <w:r w:rsidRPr="00DC6B18">
        <w:rPr>
          <w:rFonts w:ascii="Times New Roman" w:eastAsia="Times New Roman" w:hAnsi="Times New Roman" w:cs="Times New Roman"/>
          <w:b/>
          <w:bCs/>
          <w:sz w:val="20"/>
          <w:szCs w:val="20"/>
        </w:rPr>
        <w:t>ITEM 8.</w:t>
      </w:r>
      <w:r w:rsidRPr="00DC6B18">
        <w:rPr>
          <w:rFonts w:ascii="Times New Roman" w:eastAsia="Times New Roman" w:hAnsi="Times New Roman" w:cs="Times New Roman"/>
          <w:b/>
          <w:bCs/>
          <w:sz w:val="20"/>
          <w:szCs w:val="20"/>
        </w:rPr>
        <w:tab/>
        <w:t>FINANCIAL STATEMENTS</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Financial Statements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Contents</w:t>
      </w:r>
    </w:p>
    <w:tbl>
      <w:tblPr>
        <w:tblW w:w="5000" w:type="pct"/>
        <w:tblCellMar>
          <w:left w:w="0" w:type="dxa"/>
          <w:right w:w="0" w:type="dxa"/>
        </w:tblCellMar>
        <w:tblLook w:val="04A0" w:firstRow="1" w:lastRow="0" w:firstColumn="1" w:lastColumn="0" w:noHBand="0" w:noVBand="1"/>
      </w:tblPr>
      <w:tblGrid>
        <w:gridCol w:w="8610"/>
        <w:gridCol w:w="94"/>
        <w:gridCol w:w="94"/>
        <w:gridCol w:w="468"/>
        <w:gridCol w:w="94"/>
      </w:tblGrid>
      <w:tr w:rsidR="00DC6B18" w:rsidRPr="00DC6B18" w:rsidTr="00DC6B18">
        <w:tc>
          <w:tcPr>
            <w:tcW w:w="460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lastRenderedPageBreak/>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25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Report of Independent Registered Public Accounting Firms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32-33</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4"/>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Financial Statements: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4"/>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540" w:type="dxa"/>
              <w:bottom w:w="0" w:type="dxa"/>
              <w:right w:w="0"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Balance Sheets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34</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540" w:type="dxa"/>
              <w:bottom w:w="0" w:type="dxa"/>
              <w:right w:w="0"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Statements of Operations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540" w:type="dxa"/>
              <w:bottom w:w="0" w:type="dxa"/>
              <w:right w:w="0"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Statements of Changes in Stockholders’ Equity</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36</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540" w:type="dxa"/>
              <w:bottom w:w="0" w:type="dxa"/>
              <w:right w:w="0"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Statements of Cash Flows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37</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540" w:type="dxa"/>
              <w:bottom w:w="0" w:type="dxa"/>
              <w:right w:w="0"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Notes to Financial Statements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38</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24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REPORT OF REGISTERED INDEPENDENT AUDITORS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To the Board of Directors and Stockholders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of Nanoantibiotics, Inc.:</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audited the accompanying balance sheets of Nanoantibiotics, Inc. as of June 30, 2015 and 2014 and the related statements of operations, stockholders’ equity, and cash flows for the years ended June 30, 2015 and 2014. These financial statements are the responsibility of the Company’s management. Our responsibility is to express an opinion on these financial statements based on our audit.</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conducted our audit in accordance with standards of the Public Company Accounting Oversight Board (United States of America). Those standards require that we plan and perform the audit to obtain reasonable assurance about whether the financial statements are free of material misstatement. The Company is not required to have, nor were we engaged to perform, an audit of its internal control over financial reporting. Our audit included consideration of internal control over financial reporting as a basis for designing audit procedures that are appropriate in the circumstances, but not for the purpose of expressing an opinion on the effectiveness of the Company’s internal control over financial reporting. Accordingly, we express no such opinion.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 provides a reasonable basis for our opinion.</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 our opinion, the financial statements referred to above present fairly, in all material respects, the financial position of Nanoantibiotics, Inc. as of June 30, 2015 and 2014 and the results of its operations and its cash flows for the years ended June 30, 2015 and 2014 in conformity with accounting principles generally accepted in the United States of America.</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accompanying financial statements have been prepared assuming that the Company will continue as a going concern. As discussed in Note 2 to the financial statements, the Company has incurred an operating loss since inception. Further, as of June 30, 2015, the Company has not earned any revenues. These and other factors raise substantial doubt about the Company’s ability to continue as a going concern. Management’s plan regarding these matters is also described in Note 2 to the financial statements. The financial statements do not include any adjustments that might result from the outcome of this uncertainty.</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Respectfully submitted,</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noProof/>
          <w:sz w:val="20"/>
          <w:szCs w:val="20"/>
        </w:rPr>
        <w:drawing>
          <wp:inline distT="0" distB="0" distL="0" distR="0">
            <wp:extent cx="2181225" cy="314325"/>
            <wp:effectExtent l="0" t="0" r="9525" b="9525"/>
            <wp:docPr id="1" name="Picture 1" descr="E:\SEC Filings.s\Companies\NanoAntibiotics.f\2015-06-30 NNAB 10K\image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C Filings.s\Companies\NanoAntibiotics.f\2015-06-30 NNAB 10K\image_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314325"/>
                    </a:xfrm>
                    <a:prstGeom prst="rect">
                      <a:avLst/>
                    </a:prstGeom>
                    <a:noFill/>
                    <a:ln>
                      <a:noFill/>
                    </a:ln>
                  </pic:spPr>
                </pic:pic>
              </a:graphicData>
            </a:graphic>
          </wp:inline>
        </w:drawing>
      </w: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Weinberg &amp; Baer LLC</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Baltimore, Maryland</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September 21, 2014</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Balance Sheets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184"/>
        <w:gridCol w:w="740"/>
        <w:gridCol w:w="100"/>
        <w:gridCol w:w="1111"/>
        <w:gridCol w:w="91"/>
        <w:gridCol w:w="740"/>
        <w:gridCol w:w="91"/>
        <w:gridCol w:w="1111"/>
        <w:gridCol w:w="91"/>
        <w:gridCol w:w="50"/>
        <w:gridCol w:w="17"/>
        <w:gridCol w:w="17"/>
        <w:gridCol w:w="17"/>
      </w:tblGrid>
      <w:tr w:rsidR="00DC6B18" w:rsidRPr="00DC6B18" w:rsidTr="00DC6B18">
        <w:trPr>
          <w:gridAfter w:val="4"/>
        </w:trPr>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June 30,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June 30,</w:t>
            </w:r>
          </w:p>
        </w:tc>
      </w:tr>
      <w:tr w:rsidR="00DC6B18" w:rsidRPr="00DC6B18" w:rsidTr="00DC6B18">
        <w:trPr>
          <w:gridAfter w:val="4"/>
        </w:trPr>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2014</w:t>
            </w:r>
          </w:p>
        </w:tc>
      </w:tr>
      <w:tr w:rsidR="00DC6B18" w:rsidRPr="00DC6B18" w:rsidTr="00DC6B18">
        <w:tc>
          <w:tcPr>
            <w:tcW w:w="0" w:type="auto"/>
            <w:gridSpan w:val="5"/>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ASSETS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CURRENT ASSETS: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2800" w:type="pct"/>
            <w:tcMar>
              <w:top w:w="0" w:type="dxa"/>
              <w:left w:w="4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Cash</w:t>
            </w:r>
          </w:p>
        </w:tc>
        <w:tc>
          <w:tcPr>
            <w:tcW w:w="4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6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267,481</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4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6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332,864</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4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6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269,481</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LIABILITIES AND STOCKHOLDERS' DEFICIT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CURRENT LIABILITIES: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4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Accounts Payable</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650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4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322,950</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6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323,600</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STOCKHOLDERS' DEFICIT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Common stock, $0.0001 par value; 300,000,000 shares authorized; shares issued and 87,210,000 shares issued and outstanding</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Capital in excess of par value</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514,485</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514,485</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Prepaid services paid for with common stock</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(4,911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(12,411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(572,414</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(339,406</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4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Total Stockholders' Deficit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(54,119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171,389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r w:rsidR="00DC6B18" w:rsidRPr="00DC6B18" w:rsidTr="00DC6B18">
        <w:tc>
          <w:tcPr>
            <w:tcW w:w="0" w:type="auto"/>
            <w:tcMar>
              <w:top w:w="0" w:type="dxa"/>
              <w:left w:w="20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TOTAL LIABILITIES AND STOCKHOLDERS' DEFICIT</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c>
          <w:tcPr>
            <w:tcW w:w="0" w:type="auto"/>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The accompanying notes are an integral part of the financial statements.</w:t>
      </w:r>
    </w:p>
    <w:p w:rsidR="00DC6B18" w:rsidRPr="00DC6B18" w:rsidRDefault="00DC6B18" w:rsidP="00DC6B18">
      <w:pPr>
        <w:spacing w:after="0" w:line="240" w:lineRule="auto"/>
        <w:ind w:firstLine="720"/>
        <w:jc w:val="right"/>
        <w:rPr>
          <w:rFonts w:ascii="Times New Roman" w:eastAsia="Times New Roman" w:hAnsi="Times New Roman" w:cs="Times New Roman"/>
          <w:sz w:val="16"/>
          <w:szCs w:val="16"/>
        </w:rPr>
      </w:pPr>
      <w:r w:rsidRPr="00DC6B18">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-34-</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Statements of Operations</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For the Year Ended</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For the Year Ended</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June 30,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June 30,</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2014</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REVENUE:</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Sales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GROSS MARGIN</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OPERATING EXPENSES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2800" w:type="pct"/>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Research and development expenses</w:t>
            </w:r>
          </w:p>
        </w:tc>
        <w:tc>
          <w:tcPr>
            <w:tcW w:w="4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6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4,196</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4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6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49,419</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Payroll expenses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161,931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161,475</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Professional fees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50,779</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85,602</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16,471</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25,889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4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233,377</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322,385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(233,377</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(322,385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OTHER EXPENSE (INCOME)</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Interest expense</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(369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(489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tcMar>
              <w:top w:w="0" w:type="dxa"/>
              <w:left w:w="4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(369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(489</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(233,008</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(321,896</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WEIGHTED AVERAGE NUMBER OF COMMON  SHARES OUTSTANDING, BASIC AND DILUTED</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87,083,596</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The accompanying notes are an integral part of the financial statements.</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-35-</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Statement of Changes in Stockholders’ Equity</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For the Years Ended June 30, 2015 and 2014</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457"/>
        <w:gridCol w:w="56"/>
        <w:gridCol w:w="50"/>
        <w:gridCol w:w="900"/>
        <w:gridCol w:w="50"/>
        <w:gridCol w:w="56"/>
        <w:gridCol w:w="88"/>
        <w:gridCol w:w="526"/>
        <w:gridCol w:w="87"/>
        <w:gridCol w:w="56"/>
        <w:gridCol w:w="50"/>
        <w:gridCol w:w="650"/>
        <w:gridCol w:w="50"/>
        <w:gridCol w:w="56"/>
        <w:gridCol w:w="98"/>
        <w:gridCol w:w="619"/>
        <w:gridCol w:w="98"/>
        <w:gridCol w:w="56"/>
        <w:gridCol w:w="142"/>
        <w:gridCol w:w="851"/>
        <w:gridCol w:w="141"/>
        <w:gridCol w:w="56"/>
        <w:gridCol w:w="146"/>
        <w:gridCol w:w="876"/>
        <w:gridCol w:w="145"/>
      </w:tblGrid>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Prepaid</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gridSpan w:val="3"/>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right"/>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right"/>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Capital in</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Services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Total</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xml:space="preserve">Common Stock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Excess of</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Paid with</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Stockholders'</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Par Value</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Common Sock</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Deficit</w:t>
            </w:r>
          </w:p>
        </w:tc>
      </w:tr>
      <w:tr w:rsidR="00DC6B18" w:rsidRPr="00DC6B18" w:rsidTr="00DC6B18">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gridSpan w:val="3"/>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gridSpan w:val="3"/>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gridSpan w:val="3"/>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gridSpan w:val="3"/>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gridSpan w:val="3"/>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c>
          <w:tcPr>
            <w:tcW w:w="0" w:type="auto"/>
            <w:gridSpan w:val="3"/>
            <w:vAlign w:val="bottom"/>
            <w:hideMark/>
          </w:tcPr>
          <w:p w:rsidR="00DC6B18" w:rsidRPr="00DC6B18" w:rsidRDefault="00DC6B18" w:rsidP="00DC6B18">
            <w:pPr>
              <w:spacing w:after="0" w:line="240" w:lineRule="auto"/>
              <w:rPr>
                <w:rFonts w:ascii="Arial" w:eastAsia="Times New Roman" w:hAnsi="Arial" w:cs="Arial"/>
                <w:sz w:val="20"/>
                <w:szCs w:val="20"/>
              </w:rPr>
            </w:pPr>
            <w:r w:rsidRPr="00DC6B18">
              <w:rPr>
                <w:rFonts w:ascii="Arial" w:eastAsia="Times New Roman" w:hAnsi="Arial" w:cs="Arial"/>
                <w:sz w:val="20"/>
                <w:szCs w:val="20"/>
              </w:rPr>
              <w:t> </w:t>
            </w:r>
          </w:p>
        </w:tc>
      </w:tr>
      <w:tr w:rsidR="00DC6B18" w:rsidRPr="00DC6B18" w:rsidTr="00DC6B18">
        <w:tc>
          <w:tcPr>
            <w:tcW w:w="20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Balance, June 30, 2013</w:t>
            </w:r>
          </w:p>
        </w:tc>
        <w:tc>
          <w:tcPr>
            <w:tcW w:w="1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3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87,060,000</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3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8,706</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3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499,500</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3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3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(17,510</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1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3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490,696</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Issuance of common stock for services, $0.10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150,000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15</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14,985</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(12,411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2,589</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Balance, June 30, 2014</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87,210,000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514,485</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(12,411</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(339,406</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171,389</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Amortization of prepaid services paid with common stock</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7,500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7,500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Balance, June 30, 2015</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514,485</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(4,911</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(572,414</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(54,119</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The accompanying notes are an integral part of the financial statements.</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-36-</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Statements of Cash Flows</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For the Year</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For the Year</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Ended June 30,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Ended June 30,</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2015</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c>
          <w:tcPr>
            <w:tcW w:w="0" w:type="auto"/>
            <w:gridSpan w:val="3"/>
            <w:vAlign w:val="bottom"/>
            <w:hideMark/>
          </w:tcPr>
          <w:p w:rsidR="00DC6B18" w:rsidRPr="00DC6B18" w:rsidRDefault="00DC6B18" w:rsidP="00DC6B18">
            <w:pPr>
              <w:spacing w:after="0" w:line="240" w:lineRule="auto"/>
              <w:jc w:val="center"/>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CASH FLOWS FROM OPERATING ACTIVITIES: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2800" w:type="pct"/>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loss</w:t>
            </w:r>
          </w:p>
        </w:tc>
        <w:tc>
          <w:tcPr>
            <w:tcW w:w="4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6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(233,008</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40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600" w:type="pct"/>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(321,896</w:t>
            </w:r>
          </w:p>
        </w:tc>
        <w:tc>
          <w:tcPr>
            <w:tcW w:w="50" w:type="pct"/>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Amortization of prepaid common stock for services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7,500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2,589</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4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Increase in prepaid expenses</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(2,000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4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Increase (decrease) in:</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600" w:type="dxa"/>
              <w:bottom w:w="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Accounts Payable</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650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(15,000</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tcMar>
              <w:top w:w="0" w:type="dxa"/>
              <w:left w:w="6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(65,383</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(172,832</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CASH FLOWS FROM FINANCING ACTIVITIES: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Net decrease in cash</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(65,383</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(172,832</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505,696</w:t>
            </w:r>
          </w:p>
        </w:tc>
        <w:tc>
          <w:tcPr>
            <w:tcW w:w="0" w:type="auto"/>
            <w:tcMar>
              <w:top w:w="0" w:type="dxa"/>
              <w:left w:w="0" w:type="dxa"/>
              <w:bottom w:w="2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267,481</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b/>
                <w:bCs/>
                <w:sz w:val="20"/>
                <w:szCs w:val="20"/>
              </w:rPr>
            </w:pPr>
            <w:r w:rsidRPr="00DC6B18">
              <w:rPr>
                <w:rFonts w:ascii="Times New Roman" w:eastAsia="Times New Roman" w:hAnsi="Times New Roman" w:cs="Times New Roman"/>
                <w:b/>
                <w:bCs/>
                <w:sz w:val="20"/>
                <w:szCs w:val="20"/>
              </w:rPr>
              <w:t>SUPPLEMENTAL CASH FLOW INFORMATION:</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20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r w:rsidR="00DC6B18" w:rsidRPr="00DC6B18" w:rsidTr="00DC6B18">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Issuance of common stock for services, 150,000 shares</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15,000</w:t>
            </w:r>
          </w:p>
        </w:tc>
        <w:tc>
          <w:tcPr>
            <w:tcW w:w="0" w:type="auto"/>
            <w:tcMar>
              <w:top w:w="0" w:type="dxa"/>
              <w:left w:w="0" w:type="dxa"/>
              <w:bottom w:w="50" w:type="dxa"/>
              <w:right w:w="0"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The accompanying notes are an integral part of the financial statements.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-37-</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lastRenderedPageBreak/>
        <w:t>Nanoantibiotics, Inc.</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Notes to Financial Statements</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For the Years Ended June 30, 2015 and 2014</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1. Background Information</w:t>
      </w:r>
    </w:p>
    <w:p w:rsidR="00DC6B18" w:rsidRPr="00DC6B18" w:rsidRDefault="00DC6B18" w:rsidP="00DC6B18">
      <w:pPr>
        <w:spacing w:after="0" w:line="240" w:lineRule="auto"/>
        <w:ind w:left="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NanoAntibiotics, Inc. (the “Company”) is a development stage enterprise that was incorporated in the state of Nevada on April 10, 2013.  To date, the Company’s activities have been limited to raising capital, organizational matters, and the structuring of its business plan. On January 1, 2014 we moved our corporate office from Surfside, Florida to Beverly, Massachusetts.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Our pharmaceutical compounds originated at Kard Scientific, Inc. (“Kard”), a preclinical contract research organization founded by our President Rajah Menon in 2002 and of which Mr. Menon is its principal shareholder. These compounds were composed and formulated by researchers at Kard who then conducted in-vitro studies. On October 3, 2013, Kard and Mr. Menon assigned all of their rights, formulations, and all studies and data related to efflux pump antibiotics to the Company. The candidates have been studied in cell-based assays (in-vitro), but have not been studied in small animals (in-vivo) or animals with drug resistant bacteria for efficacy, efficiency and toxicity. We currently own all development and marketing rights to our products. We plan on contracting research and development of our technologies to third parties. The Company intends to file patent applications for each of these candidates as studies advance and funds become available.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shd w:val="clear" w:color="auto" w:fill="FFFFFF"/>
        </w:rPr>
        <w:t>According to ASC 845-10-S99, transfers of non-monetary assets to a company by its promoters or shareholders in exchange for stock prior to or at the time of the entity’s initial public offering should be recorded at the transferors' historical cost basis determined under GAAP.  </w:t>
      </w:r>
      <w:r w:rsidRPr="00DC6B18">
        <w:rPr>
          <w:rFonts w:ascii="Times New Roman" w:eastAsia="Times New Roman" w:hAnsi="Times New Roman" w:cs="Times New Roman"/>
          <w:sz w:val="20"/>
          <w:szCs w:val="20"/>
        </w:rPr>
        <w:t>As such the </w:t>
      </w:r>
      <w:r w:rsidRPr="00DC6B18">
        <w:rPr>
          <w:rFonts w:ascii="Times New Roman" w:eastAsia="Times New Roman" w:hAnsi="Times New Roman" w:cs="Times New Roman"/>
          <w:sz w:val="20"/>
          <w:szCs w:val="20"/>
          <w:shd w:val="clear" w:color="auto" w:fill="FFFFFF"/>
        </w:rPr>
        <w:t>cost basis carried on Kard’s books and records was zero.  Therefore, the accounting principles in ASC 845-10-S99 were followed and the Company recorded the rights at its historical cost basis, which was</w:t>
      </w:r>
      <w:r w:rsidRPr="00DC6B18">
        <w:rPr>
          <w:rFonts w:ascii="Times New Roman" w:eastAsia="Times New Roman" w:hAnsi="Times New Roman" w:cs="Times New Roman"/>
          <w:sz w:val="20"/>
          <w:szCs w:val="20"/>
        </w:rPr>
        <w:t> at the historical cost basis of zero. Although the transfer was at $1, this amount was determined by the Company to be deminimus and immaterial.</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2. Going Concern</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accompanying financial statements have been prepared assuming that the Company will continue as a going concern. For the year ended June 30, 2015, the Company had a net loss of $233,008.  As of June 30, 2015,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-38-</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3. Significant Accounting Policies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Basis of Presentation</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Cash</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June 30, 2015, and our interest bearing cash balances may exceed federally insured limits.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Financial Instruments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Research and Development</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Research and development costs are charged to operations when incurred and are included in operating expenses. The Company expensed $4,200 for research and development for the year ended June 30, 2015.</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Income Taxes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follows the provisions of FASB ASC 740-10 “</w:t>
      </w:r>
      <w:r w:rsidRPr="00DC6B18">
        <w:rPr>
          <w:rFonts w:ascii="Times New Roman" w:eastAsia="Times New Roman" w:hAnsi="Times New Roman" w:cs="Times New Roman"/>
          <w:i/>
          <w:iCs/>
          <w:sz w:val="20"/>
          <w:szCs w:val="20"/>
        </w:rPr>
        <w:t>Uncertainty in Income Taxes</w:t>
      </w:r>
      <w:r w:rsidRPr="00DC6B18">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June 30, 2015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Earnings (Loss) per Share</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The Company did not have any common stock equivalents for the period ended June 30, 2015.</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Stock-based Compensation</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-39-</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shd w:val="clear" w:color="auto" w:fill="FFFFFF"/>
        </w:rPr>
        <w:t>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prepaid expenses.  For the years ended June 30, 2015 and 2014, $7,500 and $2,589 have been expensed, respectively.</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lastRenderedPageBreak/>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rPr>
        <w:t>Fair Value Measurements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DC6B18">
        <w:rPr>
          <w:rFonts w:ascii="Times New Roman" w:eastAsia="Times New Roman" w:hAnsi="Times New Roman" w:cs="Times New Roman"/>
          <w:i/>
          <w:iCs/>
          <w:sz w:val="20"/>
          <w:szCs w:val="20"/>
        </w:rPr>
        <w:t>Fair Value Measurements and Disclosures</w:t>
      </w:r>
      <w:r w:rsidRPr="00DC6B18">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Level 3 - Inputs that are both significant to the fair value measurement and unobservable.</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Fair value estimates discussed herein are based upon certain market assumptions and pertinent information available to management as of June 30, 2015. The respective carrying value of certain on-balance-sheet financial instruments approximated their fair values due to the short-term nature of these instruments. These financial instruments include accrued payroll.</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i/>
          <w:iCs/>
          <w:sz w:val="20"/>
          <w:szCs w:val="20"/>
          <w:u w:val="single"/>
        </w:rPr>
        <w:t>Recent accounting pronouncements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-40-</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4. Commitments and Contingencies</w:t>
      </w:r>
    </w:p>
    <w:p w:rsidR="00DC6B18" w:rsidRPr="00DC6B18" w:rsidRDefault="00DC6B18" w:rsidP="00DC6B18">
      <w:pPr>
        <w:spacing w:after="0" w:line="240" w:lineRule="auto"/>
        <w:ind w:firstLine="720"/>
        <w:rPr>
          <w:rFonts w:ascii="Calibri" w:eastAsia="Times New Roman" w:hAnsi="Calibri" w:cs="Times New Roman"/>
        </w:rPr>
      </w:pPr>
      <w:r w:rsidRPr="00DC6B18">
        <w:rPr>
          <w:rFonts w:ascii="Calibri" w:eastAsia="Times New Roman" w:hAnsi="Calibri" w:cs="Times New Roman"/>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Office Lease</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Employment Agreements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During the year ended June 30, 2014, the Company entered into an employment agreement with the Company’s Chief Executive Officer and Chief Financial Officer for $150,000 annual salary. The agreement is effective beginning July 1, 2013 and expires on June 30, 2015. Until a new employment is agreed to, we will continue salaries at this rate per annum.</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lastRenderedPageBreak/>
        <w:t>5. Income Taxes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year ended June 30, 2015.</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There is no current or deferred income tax expense or benefit allocated to continuing operations for the year ended June 30, 2015.</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5614"/>
        <w:gridCol w:w="747"/>
        <w:gridCol w:w="100"/>
        <w:gridCol w:w="934"/>
        <w:gridCol w:w="92"/>
        <w:gridCol w:w="747"/>
        <w:gridCol w:w="100"/>
        <w:gridCol w:w="934"/>
        <w:gridCol w:w="92"/>
      </w:tblGrid>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June 30, 2015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3"/>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June 30, 2014</w:t>
            </w:r>
          </w:p>
        </w:tc>
      </w:tr>
      <w:tr w:rsidR="00DC6B18" w:rsidRPr="00DC6B18" w:rsidTr="00DC6B18">
        <w:tc>
          <w:tcPr>
            <w:tcW w:w="30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Tax expense (benefit) at U.S. statutory rate</w:t>
            </w:r>
          </w:p>
        </w:tc>
        <w:tc>
          <w:tcPr>
            <w:tcW w:w="4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500" w:type="pct"/>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(79,200</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4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500" w:type="pct"/>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(109,400</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State income tax expense (benefit), net of federal benefit</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(11,700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(16,100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Effect of non-deductible expenses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Other</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Change in valuation allowance</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90,900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125,500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tax effects of temporary differences that give rise to significant portions of the deferred tax assets and deferred tax liabilities at June 30, 2015 are as follows: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737"/>
        <w:gridCol w:w="934"/>
        <w:gridCol w:w="100"/>
        <w:gridCol w:w="1496"/>
        <w:gridCol w:w="93"/>
      </w:tblGrid>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Deferred tax assets (liability), noncurrent:</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36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Net operating loss</w:t>
            </w:r>
          </w:p>
        </w:tc>
        <w:tc>
          <w:tcPr>
            <w:tcW w:w="5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800" w:type="pct"/>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223,300</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Valuation allowance</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(223,300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-41-</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Change in valuation allowance:</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6737"/>
        <w:gridCol w:w="934"/>
        <w:gridCol w:w="100"/>
        <w:gridCol w:w="1496"/>
        <w:gridCol w:w="93"/>
      </w:tblGrid>
      <w:tr w:rsidR="00DC6B18" w:rsidRPr="00DC6B18" w:rsidTr="00DC6B18">
        <w:tc>
          <w:tcPr>
            <w:tcW w:w="36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Balance, June 30, 2014</w:t>
            </w:r>
          </w:p>
        </w:tc>
        <w:tc>
          <w:tcPr>
            <w:tcW w:w="5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800" w:type="pct"/>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132,400</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Increase in valuation allowance</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90,900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Balance, June 30, 2015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8" w:space="0" w:color="000000"/>
            </w:tcBorders>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223,300</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June 30, 2015.</w:t>
      </w:r>
    </w:p>
    <w:p w:rsidR="00DC6B18" w:rsidRPr="00DC6B18" w:rsidRDefault="00DC6B18" w:rsidP="00DC6B18">
      <w:pPr>
        <w:spacing w:after="0" w:line="240" w:lineRule="auto"/>
        <w:ind w:firstLine="720"/>
        <w:rPr>
          <w:rFonts w:ascii="Arial" w:eastAsia="Times New Roman" w:hAnsi="Arial" w:cs="Arial"/>
          <w:sz w:val="20"/>
          <w:szCs w:val="20"/>
        </w:rPr>
      </w:pPr>
      <w:r w:rsidRPr="00DC6B18">
        <w:rPr>
          <w:rFonts w:ascii="Arial" w:eastAsia="Times New Roman" w:hAnsi="Arial" w:cs="Arial"/>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As of June 30, 2015, the Company had federal and state net operating loss carry-forwards totaling approximately $572,400 which begin expiring in 2022.</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6. Related Party Transactions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On May 20, 2014, the Company issued 19,000,000 common shares to a director and officer for cash consideration of $0.0001 per share.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On May 28, 2014, the Company issued 15,000,000 common shares to a director and officer for cash consideration of $0.0001 per share.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The above terms and amounts are not necessarily indicative of the terms and amounts that would have been incurred had comparable transactions been entered into with independent parties.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-42-</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bookmarkStart w:id="12" w:name="a_013"/>
      <w:bookmarkEnd w:id="12"/>
      <w:r w:rsidRPr="00DC6B18">
        <w:rPr>
          <w:rFonts w:ascii="Times New Roman" w:eastAsia="Times New Roman" w:hAnsi="Times New Roman" w:cs="Times New Roman"/>
          <w:b/>
          <w:bCs/>
          <w:sz w:val="20"/>
          <w:szCs w:val="20"/>
        </w:rPr>
        <w:t>ITEM 9.</w:t>
      </w:r>
      <w:r w:rsidRPr="00DC6B18">
        <w:rPr>
          <w:rFonts w:ascii="Times New Roman" w:eastAsia="Times New Roman" w:hAnsi="Times New Roman" w:cs="Times New Roman"/>
          <w:b/>
          <w:bCs/>
          <w:sz w:val="20"/>
          <w:szCs w:val="20"/>
        </w:rPr>
        <w:tab/>
        <w:t>CHANGES IN AND DISAGREEMENTS WITH ACCOUNTANTS ON ACCOUNTING AND FINANCIAL DISCLOSURE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None.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3" w:name="a_014"/>
      <w:bookmarkEnd w:id="13"/>
      <w:r w:rsidRPr="00DC6B18">
        <w:rPr>
          <w:rFonts w:ascii="Times New Roman" w:eastAsia="Times New Roman" w:hAnsi="Times New Roman" w:cs="Times New Roman"/>
          <w:b/>
          <w:bCs/>
          <w:sz w:val="20"/>
          <w:szCs w:val="20"/>
        </w:rPr>
        <w:t>ITEM 9A(T).</w:t>
      </w:r>
      <w:r w:rsidRPr="00DC6B18">
        <w:rPr>
          <w:rFonts w:ascii="Times New Roman" w:eastAsia="Times New Roman" w:hAnsi="Times New Roman" w:cs="Times New Roman"/>
          <w:b/>
          <w:bCs/>
          <w:sz w:val="20"/>
          <w:szCs w:val="20"/>
        </w:rPr>
        <w:tab/>
        <w:t>CONTROLS AND PROCEDURES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Disclosure Controls and Procedures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Chief Executive Officer and Chief Financial Officer has evaluated the effectiveness of the Company’s disclosure controls and procedures (as defined in Rules 13a-15(e) and 15d-15(e) under the Exchange Act) as of the fiscal period ending June 30, 2015 covered by this Annual Report on Form 10-K. Based upon such evaluation, the Chief Executive Officer and acting Chief Financial Officer has concluded that, as of the end of such period, the Company’s disclosure controls and procedures were not effective as required under Rules 13a – 15(e) and 15d – 15(e) under the Exchange Act. This conclusion by the Company’s Chief Executive Officer and Chief Financial Officer does not relate to reporting periods after June 30, 2015.</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Management’s Report on Internal Control over Financial Reporting</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Management is responsible for establishing and maintaining adequate internal control over financial reporting (as defined in Rue 13a-15(f) and 15d – 15(f) of the Exchange Act) of the Company. Internal control over financial reporting is a process designed to provide reasonable assurance regarding the reliability of financial reporting and the preparation of financial statements for external purposes in accordance with accounting principles generally accepted in the United States of America.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accounting principles generally accepted in the United States of America,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Because of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and procedures may deteriorate.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xml:space="preserve">Management, under the supervision of the Company’s Chief Executive Officer and Chief Financial Officer, conducted an evaluation of the effectiveness of internal control over financial reporting based on the framework in </w:t>
      </w:r>
      <w:r w:rsidRPr="00DC6B18">
        <w:rPr>
          <w:rFonts w:ascii="Times New Roman" w:eastAsia="Times New Roman" w:hAnsi="Times New Roman" w:cs="Times New Roman"/>
          <w:i/>
          <w:iCs/>
          <w:sz w:val="20"/>
          <w:szCs w:val="20"/>
        </w:rPr>
        <w:t>Internal control – Integrated Framework</w:t>
      </w:r>
      <w:r w:rsidRPr="00DC6B18">
        <w:rPr>
          <w:rFonts w:ascii="Times New Roman" w:eastAsia="Times New Roman" w:hAnsi="Times New Roman" w:cs="Times New Roman"/>
          <w:sz w:val="20"/>
          <w:szCs w:val="20"/>
        </w:rPr>
        <w:t xml:space="preserve"> issued by the Committee of Sponsoring Organizations of the Treadway Commission. Based on this evaluation, management concluded that the Company’s internal control over financial reporting was not effective as of June 30, 2015 under the criteria set forth in the </w:t>
      </w:r>
      <w:r w:rsidRPr="00DC6B18">
        <w:rPr>
          <w:rFonts w:ascii="Times New Roman" w:eastAsia="Times New Roman" w:hAnsi="Times New Roman" w:cs="Times New Roman"/>
          <w:i/>
          <w:iCs/>
          <w:sz w:val="20"/>
          <w:szCs w:val="20"/>
        </w:rPr>
        <w:t>Internal Control – Integrated Framework</w:t>
      </w:r>
      <w:r w:rsidRPr="00DC6B18">
        <w:rPr>
          <w:rFonts w:ascii="Times New Roman" w:eastAsia="Times New Roman" w:hAnsi="Times New Roman" w:cs="Times New Roman"/>
          <w:sz w:val="20"/>
          <w:szCs w:val="20"/>
        </w:rPr>
        <w:t>.</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 material weakness is a deficiency, or combination of deficiencies, in internal control over financial reporting such that there is a reasonable possibility that a material misstatement of the Company’s annual or interim financial statements will not be prevented or detected on a timely basis. Management has determined that material weaknesses exist due to a lack of formalized controls and procedures as well as a lack of segregation of duties, as well as the absence of an independent audit committee chair, resulting from the Company’s limited resources.</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-43-</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i/>
          <w:iCs/>
          <w:sz w:val="20"/>
          <w:szCs w:val="20"/>
        </w:rPr>
        <w:t>Changes in Internal Control over Financial Reporting</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There were no changes in our internal control over financial reporting that occurred during the fourth fiscal quarter ended June 30, 2015 that have materially affected, or are reasonably likely to materially affect, our internal control over financial reporting.</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4" w:name="a_015"/>
      <w:bookmarkEnd w:id="14"/>
      <w:r w:rsidRPr="00DC6B18">
        <w:rPr>
          <w:rFonts w:ascii="Times New Roman" w:eastAsia="Times New Roman" w:hAnsi="Times New Roman" w:cs="Times New Roman"/>
          <w:b/>
          <w:bCs/>
          <w:sz w:val="20"/>
          <w:szCs w:val="20"/>
        </w:rPr>
        <w:t>ITEM 9B.</w:t>
      </w:r>
      <w:r w:rsidRPr="00DC6B18">
        <w:rPr>
          <w:rFonts w:ascii="Times New Roman" w:eastAsia="Times New Roman" w:hAnsi="Times New Roman" w:cs="Times New Roman"/>
          <w:b/>
          <w:bCs/>
          <w:sz w:val="20"/>
          <w:szCs w:val="20"/>
        </w:rPr>
        <w:tab/>
        <w:t>OTHER INFORMATION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None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Part III</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5" w:name="a_016"/>
      <w:bookmarkEnd w:id="15"/>
      <w:r w:rsidRPr="00DC6B18">
        <w:rPr>
          <w:rFonts w:ascii="Times New Roman" w:eastAsia="Times New Roman" w:hAnsi="Times New Roman" w:cs="Times New Roman"/>
          <w:b/>
          <w:bCs/>
          <w:sz w:val="20"/>
          <w:szCs w:val="20"/>
        </w:rPr>
        <w:t>ITEM 10.</w:t>
      </w:r>
      <w:r w:rsidRPr="00DC6B18">
        <w:rPr>
          <w:rFonts w:ascii="Times New Roman" w:eastAsia="Times New Roman" w:hAnsi="Times New Roman" w:cs="Times New Roman"/>
          <w:b/>
          <w:bCs/>
          <w:sz w:val="20"/>
          <w:szCs w:val="20"/>
        </w:rPr>
        <w:tab/>
        <w:t>DIRECTORS, EXECUTIVE OFFICERS AND CORPORATE GOVERNANCE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54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Set forth below is certain information concerning the directors and executive officers of the Company.</w:t>
      </w:r>
    </w:p>
    <w:p w:rsidR="00DC6B18" w:rsidRPr="00DC6B18" w:rsidRDefault="00DC6B18" w:rsidP="00DC6B18">
      <w:pPr>
        <w:spacing w:after="0" w:line="240" w:lineRule="auto"/>
        <w:ind w:firstLine="54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61"/>
        <w:gridCol w:w="57"/>
        <w:gridCol w:w="334"/>
        <w:gridCol w:w="57"/>
        <w:gridCol w:w="7451"/>
      </w:tblGrid>
      <w:tr w:rsidR="00DC6B18" w:rsidRPr="00DC6B18" w:rsidTr="00DC6B18">
        <w:tc>
          <w:tcPr>
            <w:tcW w:w="800" w:type="pct"/>
            <w:tcBorders>
              <w:bottom w:val="single" w:sz="8"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Name</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100" w:type="pct"/>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Age</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4000" w:type="pct"/>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Position</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Elliot Ehrlich</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29</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Chief Executive Officer, Chief Financial Officer, Treasurer, Corporate Secretary and Director</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Rajah Menon</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sz w:val="20"/>
                <w:szCs w:val="20"/>
              </w:rPr>
              <w:t>35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President and Director</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According to our Bylaws, the number of directors shall be two (2). The directors shall be elected at the annual meeting of the stockholders and each director shall be elected to serve until his successor shall be elected and shall qualify. A director need not be a stockholder. Directors shall not receive any stated salary for their services as directors or as members of committees, but by resolution of the Board a fixed fee and expenses of attendance may be allowed for attendance at each meeting. The Bylaws shall not be construed to preclude any director from serving the Company in any other capacity as an officer, agent or otherwise, and receiving compensation therefor.</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There are no familial relationships among any of our Directors or officers. None of our Directors or officers is or has been a Director or has held any form of directorship in any other U.S. reporting companies except as mentioned above. None of our Directors or officers has been affiliated with any company that has filed for bankruptcy within the last five years. The Company is not aware of any proceedings to which any of the Company’s Officers or Directors, or any associate of any such officer or Director, is a party that are adverse to the Company. We are also not aware of any material interest of any of our officers or directors that is adverse to our own interests.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Information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24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Elliot Ehrlich has served as the Company’s Chief Executive Officer, Chief Financial Officer, Treasurer, Corporate Secretary and Chairman of the Board since the Company’s inception on April 10, 2013. He attended as a graduate school student Touro College’s Physical Therapy Program from 2006 -2009 and received his degree in 2009 and is a Doctor of Physical Therapy. After graduation, he worked as a physical therapist for private practices as well as for Metropolitan Jewish Health Services from 2009 to 2012. He was responsible for leadership roles as directing patient care, coordinating and communicating with other disciplines, and providing physical treatment to patients. Presently, he is a physical therapist and an investor in life science companies. Dr. Elliot Ehrlich, does not possess a Doctor of Medicine degree only that of a Doctor of Physical Therapy.</w:t>
      </w:r>
    </w:p>
    <w:p w:rsidR="00DC6B18" w:rsidRPr="00DC6B18" w:rsidRDefault="00DC6B18" w:rsidP="00DC6B18">
      <w:pPr>
        <w:spacing w:after="0" w:line="240" w:lineRule="auto"/>
        <w:jc w:val="both"/>
        <w:rPr>
          <w:rFonts w:ascii="Times New Roman" w:eastAsia="Times New Roman" w:hAnsi="Times New Roman" w:cs="Times New Roman"/>
          <w:color w:val="222222"/>
          <w:sz w:val="20"/>
          <w:szCs w:val="20"/>
        </w:rPr>
      </w:pPr>
      <w:r w:rsidRPr="00DC6B18">
        <w:rPr>
          <w:rFonts w:ascii="Times New Roman" w:eastAsia="Times New Roman" w:hAnsi="Times New Roman" w:cs="Times New Roman"/>
          <w:color w:val="222222"/>
          <w:sz w:val="20"/>
          <w:szCs w:val="20"/>
          <w:shd w:val="clear" w:color="auto" w:fill="FFFFFF"/>
        </w:rPr>
        <w:t xml:space="preserve">Rajah Menon has served as the Company’s President and as a Director since the Company’s inception. Mr. Menon attended Amherst College from 1996 -2000 where he received his Bachelor of Arts’ degrees in Economics and Law Jurisprudence and Social Thought. After graduation Mr. Menon worked as an analyst for Loan Pricing Corporation, a subsidiary of Reuters. In 2002, Mr. Menon founded Kard Scientific, a preclinical contract research organization providing life science services to companies based near Boston, MA, and today he remains its principal shareholder. In the years 2004-2008, Mr. Menon was employed at Blackrock Financial Management within the Portfolio Analytics </w:t>
      </w:r>
      <w:r w:rsidRPr="00DC6B18">
        <w:rPr>
          <w:rFonts w:ascii="Times New Roman" w:eastAsia="Times New Roman" w:hAnsi="Times New Roman" w:cs="Times New Roman"/>
          <w:color w:val="222222"/>
          <w:sz w:val="20"/>
          <w:szCs w:val="20"/>
          <w:shd w:val="clear" w:color="auto" w:fill="FFFFFF"/>
        </w:rPr>
        <w:lastRenderedPageBreak/>
        <w:t>Group. Following Blackrock, Mr. Menon worked as a Vice President within the Fixed Income Information Group at Markit Group.</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r w:rsidRPr="00DC6B18">
        <w:rPr>
          <w:rFonts w:ascii="Times New Roman" w:eastAsia="Times New Roman" w:hAnsi="Times New Roman" w:cs="Times New Roman"/>
          <w:sz w:val="20"/>
          <w:szCs w:val="20"/>
        </w:rPr>
        <w:br w:type="textWrapping" w:clear="all"/>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-44-</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Qualifications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Dr. Ehrlich’s qualifications to serve on our Board of Directors are primarily based on his nearly four (4) years of experience as a health practitioner and investor in life sciences companies. His entrepreneurial desire led him to be a founder of the Company. Dr. Ehrlich will assist the Company in the prioritization of tasks to accomplish maximum results in drug development and address organizational issues to help further the growth of NanoAntibiotics. Due to Dr. Ehrlich’s experience and background the shareholders felt Dr. Ehrlich should serve as CEO and Chairman of the Board of the Company.</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Mr. Menon’s qualifications to serve on our Board of Directors are primarily based on his over thirteen (13) years of experience of running a preclinical contract laboratory and his years of expertise within the financial services industry. His entrepreneurial desire led him to be a founder of the Company. Mr. Menon will assist the Company in the prioritization of tasks to accomplish maximum results in drug development and address organizational issues to help further the growth of Nanoantibiotics. Due to Mr. Menon’s experience and background in life sciences, the shareholders felt Mr. Menon should serve as President of the Company.</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AUDIT COMMITTEE</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do not have an audit committee or an audit committee financial expert. Our corporate financial affairs are simple at this stage of development and each financial transaction can be viewed by any officer or Director at will.</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CODE OF ETHICS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shd w:val="clear" w:color="auto" w:fill="FFFFFF"/>
        </w:rPr>
        <w:t>We have adopted a code of ethics meeting the requirements of Section 406 of the Sarbanes-Oxley Act of 2002. We believe our code of ethics is reasonably designed to deter wrongdoing and promote honest and ethical conduct; provide full, fair, accurate, timely and understandable disclosure in public reports; comply with applicable laws; ensure prompt internal reporting of violations; and provide accountability for adherence to the provisions of the code of ethic. Our code of ethics is filed as an exhibit to this Form 10-K.</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6" w:name="a_017"/>
      <w:bookmarkEnd w:id="16"/>
      <w:r w:rsidRPr="00DC6B18">
        <w:rPr>
          <w:rFonts w:ascii="Times New Roman" w:eastAsia="Times New Roman" w:hAnsi="Times New Roman" w:cs="Times New Roman"/>
          <w:b/>
          <w:bCs/>
          <w:sz w:val="20"/>
          <w:szCs w:val="20"/>
        </w:rPr>
        <w:t>ITEM 11.</w:t>
      </w:r>
      <w:r w:rsidRPr="00DC6B18">
        <w:rPr>
          <w:rFonts w:ascii="Times New Roman" w:eastAsia="Times New Roman" w:hAnsi="Times New Roman" w:cs="Times New Roman"/>
          <w:b/>
          <w:bCs/>
          <w:sz w:val="20"/>
          <w:szCs w:val="20"/>
        </w:rPr>
        <w:tab/>
        <w:t>EXECUTIVE COMPENSATION</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have not paid any compensation to any of our executive officer’s, however, we did accrue the Chief Executive Officer’s salary per the employment agreement effective into July 1, 2013.</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-45-</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Summary Compensation Table</w:t>
      </w:r>
    </w:p>
    <w:p w:rsidR="00DC6B18" w:rsidRPr="00DC6B18" w:rsidRDefault="00DC6B18" w:rsidP="00DC6B18">
      <w:pPr>
        <w:spacing w:after="0" w:line="240" w:lineRule="auto"/>
        <w:ind w:firstLine="720"/>
        <w:rPr>
          <w:rFonts w:ascii="Times New Roman" w:eastAsia="Times New Roman" w:hAnsi="Times New Roman" w:cs="Times New Roman"/>
          <w:sz w:val="14"/>
          <w:szCs w:val="14"/>
        </w:rPr>
      </w:pPr>
      <w:r w:rsidRPr="00DC6B18">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969"/>
        <w:gridCol w:w="406"/>
        <w:gridCol w:w="238"/>
        <w:gridCol w:w="263"/>
        <w:gridCol w:w="524"/>
        <w:gridCol w:w="238"/>
        <w:gridCol w:w="263"/>
        <w:gridCol w:w="382"/>
        <w:gridCol w:w="238"/>
        <w:gridCol w:w="263"/>
        <w:gridCol w:w="382"/>
        <w:gridCol w:w="238"/>
        <w:gridCol w:w="263"/>
        <w:gridCol w:w="382"/>
        <w:gridCol w:w="238"/>
        <w:gridCol w:w="335"/>
        <w:gridCol w:w="499"/>
        <w:gridCol w:w="238"/>
        <w:gridCol w:w="169"/>
        <w:gridCol w:w="199"/>
        <w:gridCol w:w="536"/>
        <w:gridCol w:w="238"/>
        <w:gridCol w:w="335"/>
        <w:gridCol w:w="499"/>
        <w:gridCol w:w="238"/>
        <w:gridCol w:w="263"/>
        <w:gridCol w:w="524"/>
      </w:tblGrid>
      <w:tr w:rsidR="00DC6B18" w:rsidRPr="00DC6B18" w:rsidTr="00DC6B18">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rPr>
            </w:pPr>
            <w:r w:rsidRPr="00DC6B18">
              <w:rPr>
                <w:rFonts w:ascii="Calibri" w:eastAsia="Times New Roman" w:hAnsi="Calibri" w:cs="Times New Roman"/>
              </w:rPr>
              <w:t> </w:t>
            </w:r>
          </w:p>
        </w:tc>
        <w:tc>
          <w:tcPr>
            <w:tcW w:w="0" w:type="auto"/>
            <w:gridSpan w:val="7"/>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Annual Compensation</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10"/>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Long Term Compensation</w:t>
            </w:r>
          </w:p>
        </w:tc>
        <w:tc>
          <w:tcPr>
            <w:tcW w:w="0" w:type="auto"/>
            <w:gridSpan w:val="8"/>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r>
      <w:tr w:rsidR="00DC6B18" w:rsidRPr="00DC6B18" w:rsidTr="00DC6B18">
        <w:tc>
          <w:tcPr>
            <w:tcW w:w="0" w:type="auto"/>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Name and Principal Position</w:t>
            </w:r>
          </w:p>
        </w:tc>
        <w:tc>
          <w:tcPr>
            <w:tcW w:w="0" w:type="auto"/>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Year (1)</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Salary</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Bonus</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Stock Awards</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Option Awards</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Non-Equity Incentive Plan Compensation</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3"/>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Nonqualified Deferred Compensation Earnings</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All Other Compensation</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Total</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b/>
                <w:bCs/>
                <w:sz w:val="14"/>
                <w:szCs w:val="14"/>
              </w:rPr>
              <w:t>Elliot Ehrlich</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3"/>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Borders>
              <w:top w:val="single" w:sz="8" w:space="0" w:color="000000"/>
            </w:tcBorders>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 xml:space="preserve">Chief Executive Officer and Chief Financial Officer, Treasurer </w:t>
            </w:r>
            <w:r w:rsidRPr="00DC6B18">
              <w:rPr>
                <w:rFonts w:ascii="Times New Roman" w:eastAsia="Times New Roman" w:hAnsi="Times New Roman" w:cs="Times New Roman"/>
                <w:sz w:val="14"/>
                <w:szCs w:val="14"/>
              </w:rPr>
              <w:lastRenderedPageBreak/>
              <w:t>and Corporate Secretary</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lastRenderedPageBreak/>
              <w:t>2015</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150,000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150,000</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lastRenderedPageBreak/>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2014</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150,000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14"/>
                <w:szCs w:val="14"/>
              </w:rPr>
            </w:pPr>
            <w:r w:rsidRPr="00DC6B18">
              <w:rPr>
                <w:rFonts w:ascii="Times New Roman" w:eastAsia="Times New Roman" w:hAnsi="Times New Roman" w:cs="Times New Roman"/>
                <w:sz w:val="14"/>
                <w:szCs w:val="14"/>
              </w:rPr>
              <w:t>150,000</w:t>
            </w:r>
          </w:p>
        </w:tc>
      </w:tr>
      <w:tr w:rsidR="00DC6B18" w:rsidRPr="00DC6B18" w:rsidTr="00DC6B18">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150" w:type="dxa"/>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210" w:type="dxa"/>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Calibri" w:eastAsia="Times New Roman" w:hAnsi="Calibri" w:cs="Times New Roman"/>
        </w:rPr>
      </w:pPr>
      <w:r w:rsidRPr="00DC6B18">
        <w:rPr>
          <w:rFonts w:ascii="Calibri" w:eastAsia="Times New Roman" w:hAnsi="Calibri" w:cs="Times New Roman"/>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_____________________________________</w:t>
      </w:r>
    </w:p>
    <w:p w:rsidR="00DC6B18" w:rsidRPr="00DC6B18" w:rsidRDefault="00DC6B18" w:rsidP="00DC6B18">
      <w:pPr>
        <w:spacing w:after="0" w:line="240" w:lineRule="auto"/>
        <w:ind w:firstLine="720"/>
        <w:rPr>
          <w:rFonts w:ascii="Times New Roman" w:eastAsia="Times New Roman" w:hAnsi="Times New Roman" w:cs="Times New Roman"/>
          <w:sz w:val="18"/>
          <w:szCs w:val="18"/>
        </w:rPr>
      </w:pPr>
      <w:r w:rsidRPr="00DC6B18">
        <w:rPr>
          <w:rFonts w:ascii="Times New Roman" w:eastAsia="Times New Roman" w:hAnsi="Times New Roman" w:cs="Times New Roman"/>
          <w:sz w:val="18"/>
          <w:szCs w:val="18"/>
        </w:rPr>
        <w:t> (1) We were incorporated on April 10, 2013.</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Employment Agreement</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During the year ended June 30, 2015, the Company entered into an employment agreement with the Company’s Chief Executive Officer and Chief Financial Officer for $150,000 annual salary. The agreement expires on June 30, 2015. Until a new employment is agreed to, we will continue salaries at this rate per annum.</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Option/SAR Grants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do not currently have a stock option plan. No individual grants of stock options, whether or not in tandem with stock appreciation rights known as SARs or freestanding SARs have been made to any executive officer or any Director since our inception; accordingly, no stock options have been granted or exercised by any of the officers or Directors since we were founded.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Long-Term Incentive Plans and Awards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do not have any long-term incentive plans that provide compensation intended to serve as incentive for performance. No individual grants or agreement s regarding future payouts under non-stock price-based plans have been made to any executive officer or any Director or any employee or consultant since our inception; accordingly, no future payouts under non-stock price-based plans or agreement s have been granted or entered into or exercised by our officer or Director or employees or consultants since we were founded.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Compensation of Directors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There are no arrangements pursuant to which our Director is or will be compensated in the future for any services provided as a Director.</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-46-</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bookmarkStart w:id="17" w:name="a_018"/>
      <w:bookmarkEnd w:id="17"/>
      <w:r w:rsidRPr="00DC6B18">
        <w:rPr>
          <w:rFonts w:ascii="Times New Roman" w:eastAsia="Times New Roman" w:hAnsi="Times New Roman" w:cs="Times New Roman"/>
          <w:b/>
          <w:bCs/>
          <w:sz w:val="20"/>
          <w:szCs w:val="20"/>
        </w:rPr>
        <w:t>ITEM 12.</w:t>
      </w:r>
      <w:r w:rsidRPr="00DC6B18">
        <w:rPr>
          <w:rFonts w:ascii="Times New Roman" w:eastAsia="Times New Roman" w:hAnsi="Times New Roman" w:cs="Times New Roman"/>
          <w:b/>
          <w:bCs/>
          <w:sz w:val="20"/>
          <w:szCs w:val="20"/>
        </w:rPr>
        <w:tab/>
        <w:t>SECURITY OWNERSHIP OF CERTAIN BENEFICIAL OWNERS AND MANAGEMENT AND RELATED STOCKHOLDER MATTERS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Long-Term Incentive Plans and Awards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We do not have any long-term incentive plans that provide compensation intended to serve as incentive for performance. No individual grants or agreement s regarding future payouts under non-stock price-based plans have been made to any executive officer or any Director or any employee or consultant since our inception; accordingly, no future payouts under non-stock price-based plans or agreement s have been granted or entered into or exercised by our officer or Director or employees or consultants since we were founded.</w:t>
      </w:r>
    </w:p>
    <w:p w:rsidR="00DC6B18" w:rsidRPr="00DC6B18" w:rsidRDefault="00DC6B18" w:rsidP="00DC6B18">
      <w:pPr>
        <w:spacing w:after="0" w:line="240" w:lineRule="auto"/>
        <w:ind w:firstLine="72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r w:rsidRPr="00DC6B18">
        <w:rPr>
          <w:rFonts w:ascii="Times New Roman" w:eastAsia="Times New Roman" w:hAnsi="Times New Roman" w:cs="Times New Roman"/>
          <w:b/>
          <w:bCs/>
          <w:sz w:val="20"/>
          <w:szCs w:val="20"/>
        </w:rPr>
        <w:t>SECURITY OWNERSHIP OF CERTAIN BENEFICIAL OWNERS AND MANAGEMENT</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following table sets forth certain information concerning the ownership of the Common Stock by (a) each person who, to the best of our knowledge, beneficially owned on that date more than 5% of our outstanding Common Stock, (b) each of our Directors and executive officers and (c) all current Directors and executive officers as a group. The following table is based upon an aggregate of 87,210,000 shares of our Common Stock outstanding as of the date of this prospectus. </w:t>
      </w:r>
    </w:p>
    <w:tbl>
      <w:tblPr>
        <w:tblW w:w="5000" w:type="pct"/>
        <w:tblCellMar>
          <w:left w:w="0" w:type="dxa"/>
          <w:right w:w="0" w:type="dxa"/>
        </w:tblCellMar>
        <w:tblLook w:val="04A0" w:firstRow="1" w:lastRow="0" w:firstColumn="1" w:lastColumn="0" w:noHBand="0" w:noVBand="1"/>
      </w:tblPr>
      <w:tblGrid>
        <w:gridCol w:w="5046"/>
        <w:gridCol w:w="262"/>
        <w:gridCol w:w="262"/>
        <w:gridCol w:w="1397"/>
        <w:gridCol w:w="262"/>
        <w:gridCol w:w="367"/>
        <w:gridCol w:w="367"/>
        <w:gridCol w:w="1397"/>
      </w:tblGrid>
      <w:tr w:rsidR="00DC6B18" w:rsidRPr="00DC6B18" w:rsidTr="00DC6B18">
        <w:tc>
          <w:tcPr>
            <w:tcW w:w="0" w:type="auto"/>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lastRenderedPageBreak/>
              <w:t>Name and Address of Beneficial Owner</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Number of Shares of Common Stock Beneficially Owned or Right to Direct Vote (1)</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Borders>
              <w:bottom w:val="single" w:sz="8" w:space="0" w:color="000000"/>
            </w:tcBorders>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Percent of Common Stock Beneficially Owned or Right to Direct Vote (1)</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2750" w:type="pct"/>
            <w:tcMar>
              <w:top w:w="0" w:type="dxa"/>
              <w:left w:w="108" w:type="dxa"/>
              <w:bottom w:w="0" w:type="dxa"/>
              <w:right w:w="108"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Elliot Ehrlich (2)</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9511 Collins Ave.</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Surfside, Florida 3315</w:t>
            </w:r>
            <w:r w:rsidRPr="00DC6B18">
              <w:rPr>
                <w:rFonts w:ascii="Times New Roman" w:eastAsia="Times New Roman" w:hAnsi="Times New Roman" w:cs="Times New Roman"/>
                <w:b/>
                <w:bCs/>
                <w:sz w:val="20"/>
                <w:szCs w:val="20"/>
              </w:rPr>
              <w:t>4</w:t>
            </w:r>
          </w:p>
        </w:tc>
        <w:tc>
          <w:tcPr>
            <w:tcW w:w="50" w:type="pct"/>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800" w:type="pct"/>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15,000,000</w:t>
            </w:r>
          </w:p>
        </w:tc>
        <w:tc>
          <w:tcPr>
            <w:tcW w:w="50" w:type="pct"/>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250" w:type="pct"/>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250" w:type="pct"/>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800" w:type="pct"/>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17.23 %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Rajah Menon (3)</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22-25 35</w:t>
            </w:r>
            <w:r w:rsidRPr="00DC6B18">
              <w:rPr>
                <w:rFonts w:ascii="Times New Roman" w:eastAsia="Times New Roman" w:hAnsi="Times New Roman" w:cs="Times New Roman"/>
                <w:sz w:val="20"/>
                <w:szCs w:val="20"/>
                <w:vertAlign w:val="superscript"/>
              </w:rPr>
              <w:t>th</w:t>
            </w:r>
            <w:r w:rsidRPr="00DC6B18">
              <w:rPr>
                <w:rFonts w:ascii="Times New Roman" w:eastAsia="Times New Roman" w:hAnsi="Times New Roman" w:cs="Times New Roman"/>
                <w:sz w:val="20"/>
                <w:szCs w:val="20"/>
              </w:rPr>
              <w:t xml:space="preserve"> St., Astoria, NY 11105</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19,000,000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21.82 %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All Directors and executive officers as a group (Two persons):</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34,000,000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 xml:space="preserve">39.05 </w:t>
            </w:r>
            <w:r w:rsidRPr="00DC6B18">
              <w:rPr>
                <w:rFonts w:ascii="Times New Roman" w:eastAsia="Times New Roman" w:hAnsi="Times New Roman" w:cs="Times New Roman"/>
                <w:sz w:val="20"/>
                <w:szCs w:val="20"/>
              </w:rPr>
              <w:t>%</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Other 5% or Greater Beneficial Owners:</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Anita Menon (3)</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150 W. 51</w:t>
            </w:r>
            <w:r w:rsidRPr="00DC6B18">
              <w:rPr>
                <w:rFonts w:ascii="Times New Roman" w:eastAsia="Times New Roman" w:hAnsi="Times New Roman" w:cs="Times New Roman"/>
                <w:sz w:val="20"/>
                <w:szCs w:val="20"/>
                <w:vertAlign w:val="superscript"/>
              </w:rPr>
              <w:t>st</w:t>
            </w:r>
            <w:r w:rsidRPr="00DC6B18">
              <w:rPr>
                <w:rFonts w:ascii="Times New Roman" w:eastAsia="Times New Roman" w:hAnsi="Times New Roman" w:cs="Times New Roman"/>
                <w:sz w:val="20"/>
                <w:szCs w:val="20"/>
              </w:rPr>
              <w:t xml:space="preserve"> Street, New York, NY 10019</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18,870,000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21.67 %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Leo and Helene Ehrlich (2)</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7846 Tennyson Ct. Boca Raton, FL 33433</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8,500,000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9.76 %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tcMar>
              <w:top w:w="0" w:type="dxa"/>
              <w:left w:w="108" w:type="dxa"/>
              <w:bottom w:w="0" w:type="dxa"/>
              <w:right w:w="108" w:type="dxa"/>
            </w:tcMar>
            <w:vAlign w:val="bottom"/>
            <w:hideMark/>
          </w:tcPr>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Rebecca Guttman (2)</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655 Ibsen St., Woodmere, NY 11598</w:t>
            </w:r>
          </w:p>
        </w:tc>
        <w:tc>
          <w:tcPr>
            <w:tcW w:w="0" w:type="auto"/>
            <w:tcMar>
              <w:top w:w="0" w:type="dxa"/>
              <w:left w:w="108" w:type="dxa"/>
              <w:bottom w:w="0" w:type="dxa"/>
              <w:right w:w="108" w:type="dxa"/>
            </w:tcMa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8,500,000</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Mar>
              <w:top w:w="0" w:type="dxa"/>
              <w:left w:w="108" w:type="dxa"/>
              <w:bottom w:w="0" w:type="dxa"/>
              <w:right w:w="108" w:type="dxa"/>
            </w:tcMar>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9.76 %</w:t>
            </w:r>
          </w:p>
        </w:tc>
      </w:tr>
    </w:tbl>
    <w:p w:rsidR="00DC6B18" w:rsidRPr="00DC6B18" w:rsidRDefault="00DC6B18" w:rsidP="00DC6B18">
      <w:pPr>
        <w:spacing w:after="0" w:line="240" w:lineRule="auto"/>
        <w:rPr>
          <w:rFonts w:ascii="Times New Roman" w:eastAsia="Times New Roman" w:hAnsi="Times New Roman" w:cs="Times New Roman"/>
          <w:sz w:val="10"/>
          <w:szCs w:val="10"/>
        </w:rPr>
      </w:pPr>
      <w:r w:rsidRPr="00DC6B18">
        <w:rPr>
          <w:rFonts w:ascii="Times New Roman" w:eastAsia="Times New Roman" w:hAnsi="Times New Roman" w:cs="Times New Roman"/>
          <w:sz w:val="10"/>
          <w:szCs w:val="10"/>
        </w:rPr>
        <w:t>_________________________________</w:t>
      </w:r>
    </w:p>
    <w:p w:rsidR="00DC6B18" w:rsidRPr="00DC6B18" w:rsidRDefault="00DC6B18" w:rsidP="00DC6B18">
      <w:pPr>
        <w:spacing w:after="0" w:line="240" w:lineRule="auto"/>
        <w:ind w:left="720" w:hanging="360"/>
        <w:jc w:val="both"/>
        <w:rPr>
          <w:rFonts w:ascii="Calibri" w:eastAsia="Times New Roman" w:hAnsi="Calibri" w:cs="Times New Roman"/>
        </w:rPr>
      </w:pPr>
      <w:r w:rsidRPr="00DC6B18">
        <w:rPr>
          <w:rFonts w:ascii="Symbol" w:eastAsia="Times New Roman" w:hAnsi="Symbol" w:cs="Times New Roman"/>
          <w:sz w:val="18"/>
          <w:szCs w:val="18"/>
        </w:rPr>
        <w:t></w:t>
      </w:r>
      <w:r w:rsidRPr="00DC6B18">
        <w:rPr>
          <w:rFonts w:ascii="Symbol" w:eastAsia="Times New Roman" w:hAnsi="Symbol" w:cs="Times New Roman"/>
          <w:sz w:val="18"/>
          <w:szCs w:val="18"/>
        </w:rPr>
        <w:t></w:t>
      </w:r>
      <w:r w:rsidRPr="00DC6B18">
        <w:rPr>
          <w:rFonts w:ascii="Symbol" w:eastAsia="Times New Roman" w:hAnsi="Symbol" w:cs="Times New Roman"/>
          <w:sz w:val="18"/>
          <w:szCs w:val="18"/>
        </w:rPr>
        <w:t></w:t>
      </w:r>
      <w:r w:rsidRPr="00DC6B18">
        <w:rPr>
          <w:rFonts w:ascii="Times New Roman" w:eastAsia="Times New Roman" w:hAnsi="Times New Roman" w:cs="Times New Roman"/>
          <w:sz w:val="14"/>
          <w:szCs w:val="14"/>
        </w:rPr>
        <w:t xml:space="preserve">     </w:t>
      </w:r>
      <w:r w:rsidRPr="00DC6B18">
        <w:rPr>
          <w:rFonts w:ascii="Times New Roman" w:eastAsia="Times New Roman" w:hAnsi="Times New Roman" w:cs="Times New Roman"/>
          <w:sz w:val="18"/>
          <w:szCs w:val="18"/>
        </w:rPr>
        <w:t>Beneficial ownership is determined in accordance with the rules of the Securities and Exchange Commission and generally includes voting or investment power with respect to securities. In accordance with SEC rules, shares of Common Stock issuable upon the exercise of options or warrants which are currently exercisable or which become exercisable within 60 days following the date of the information in this table are deemed to be beneficially owned by, and outstanding with respect to, the holder of such option or warrant, however none of the persons listed hereinabove has the right to acquire beneficial ownership in any other shares of the Company. Subject to community property laws where applicable, to our knowledge, each person listed is believed to have sole voting and investment power with respect to all shares of Common Stock owned by such person.</w:t>
      </w:r>
    </w:p>
    <w:p w:rsidR="00DC6B18" w:rsidRPr="00DC6B18" w:rsidRDefault="00DC6B18" w:rsidP="00DC6B18">
      <w:pPr>
        <w:spacing w:after="0" w:line="240" w:lineRule="auto"/>
        <w:ind w:left="720" w:hanging="360"/>
        <w:jc w:val="both"/>
        <w:rPr>
          <w:rFonts w:ascii="Calibri" w:eastAsia="Times New Roman" w:hAnsi="Calibri" w:cs="Times New Roman"/>
        </w:rPr>
      </w:pPr>
      <w:r w:rsidRPr="00DC6B18">
        <w:rPr>
          <w:rFonts w:ascii="Symbol" w:eastAsia="Times New Roman" w:hAnsi="Symbol" w:cs="Times New Roman"/>
          <w:sz w:val="18"/>
          <w:szCs w:val="18"/>
        </w:rPr>
        <w:t></w:t>
      </w:r>
      <w:r w:rsidRPr="00DC6B18">
        <w:rPr>
          <w:rFonts w:ascii="Symbol" w:eastAsia="Times New Roman" w:hAnsi="Symbol" w:cs="Times New Roman"/>
          <w:sz w:val="18"/>
          <w:szCs w:val="18"/>
        </w:rPr>
        <w:t></w:t>
      </w:r>
      <w:r w:rsidRPr="00DC6B18">
        <w:rPr>
          <w:rFonts w:ascii="Symbol" w:eastAsia="Times New Roman" w:hAnsi="Symbol" w:cs="Times New Roman"/>
          <w:sz w:val="18"/>
          <w:szCs w:val="18"/>
        </w:rPr>
        <w:t></w:t>
      </w:r>
      <w:r w:rsidRPr="00DC6B18">
        <w:rPr>
          <w:rFonts w:ascii="Times New Roman" w:eastAsia="Times New Roman" w:hAnsi="Times New Roman" w:cs="Times New Roman"/>
          <w:sz w:val="14"/>
          <w:szCs w:val="14"/>
        </w:rPr>
        <w:t xml:space="preserve">     </w:t>
      </w:r>
      <w:r w:rsidRPr="00DC6B18">
        <w:rPr>
          <w:rFonts w:ascii="Times New Roman" w:eastAsia="Times New Roman" w:hAnsi="Times New Roman" w:cs="Times New Roman"/>
          <w:sz w:val="18"/>
          <w:szCs w:val="18"/>
        </w:rPr>
        <w:t xml:space="preserve">Certain immediate family members of Mr. Ehrlich, namely his parent Leo Ehrlich and Helene Ehrlich, his sister-in-law Rebecca Guttman, his brother Joshua Ehrlich and his sister Sarah Ehrlich, beneficially own 8,500,000, 8,500,000, 3,000,000 and 3,000,000 shares of common stock, respectively, however Mr. Elliot Ehrlich specifically disclaims any beneficial ownership in such shares. </w:t>
      </w:r>
    </w:p>
    <w:p w:rsidR="00DC6B18" w:rsidRPr="00DC6B18" w:rsidRDefault="00DC6B18" w:rsidP="00DC6B18">
      <w:pPr>
        <w:spacing w:after="0" w:line="240" w:lineRule="auto"/>
        <w:ind w:left="720" w:hanging="360"/>
        <w:jc w:val="both"/>
        <w:rPr>
          <w:rFonts w:ascii="Calibri" w:eastAsia="Times New Roman" w:hAnsi="Calibri" w:cs="Times New Roman"/>
        </w:rPr>
      </w:pPr>
      <w:r w:rsidRPr="00DC6B18">
        <w:rPr>
          <w:rFonts w:ascii="Symbol" w:eastAsia="Times New Roman" w:hAnsi="Symbol" w:cs="Times New Roman"/>
          <w:sz w:val="18"/>
          <w:szCs w:val="18"/>
        </w:rPr>
        <w:t></w:t>
      </w:r>
      <w:r w:rsidRPr="00DC6B18">
        <w:rPr>
          <w:rFonts w:ascii="Symbol" w:eastAsia="Times New Roman" w:hAnsi="Symbol" w:cs="Times New Roman"/>
          <w:sz w:val="18"/>
          <w:szCs w:val="18"/>
        </w:rPr>
        <w:t></w:t>
      </w:r>
      <w:r w:rsidRPr="00DC6B18">
        <w:rPr>
          <w:rFonts w:ascii="Symbol" w:eastAsia="Times New Roman" w:hAnsi="Symbol" w:cs="Times New Roman"/>
          <w:sz w:val="18"/>
          <w:szCs w:val="18"/>
        </w:rPr>
        <w:t></w:t>
      </w:r>
      <w:r w:rsidRPr="00DC6B18">
        <w:rPr>
          <w:rFonts w:ascii="Times New Roman" w:eastAsia="Times New Roman" w:hAnsi="Times New Roman" w:cs="Times New Roman"/>
          <w:sz w:val="14"/>
          <w:szCs w:val="14"/>
        </w:rPr>
        <w:t xml:space="preserve">     </w:t>
      </w:r>
      <w:r w:rsidRPr="00DC6B18">
        <w:rPr>
          <w:rFonts w:ascii="Times New Roman" w:eastAsia="Times New Roman" w:hAnsi="Times New Roman" w:cs="Times New Roman"/>
          <w:sz w:val="18"/>
          <w:szCs w:val="18"/>
        </w:rPr>
        <w:t>Certain immediate family members of Mr. Menon, namely his father, Krishna Menon and his sister Anita Menon, beneficially own 2,000,000 and 18,870,000 shares of common stock, respectively, however Mr. Rajah Menon specifically disclaims any beneficial ownership in such shares.</w:t>
      </w:r>
    </w:p>
    <w:p w:rsidR="00DC6B18" w:rsidRPr="00DC6B18" w:rsidRDefault="00DC6B18" w:rsidP="00DC6B18">
      <w:pPr>
        <w:spacing w:after="0" w:line="240" w:lineRule="auto"/>
        <w:ind w:left="720" w:hanging="360"/>
        <w:jc w:val="both"/>
        <w:rPr>
          <w:rFonts w:ascii="Calibri" w:eastAsia="Times New Roman" w:hAnsi="Calibri" w:cs="Times New Roman"/>
        </w:rPr>
      </w:pPr>
      <w:r w:rsidRPr="00DC6B18">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-47-</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rPr>
          <w:rFonts w:ascii="Times New Roman" w:eastAsia="Times New Roman" w:hAnsi="Times New Roman" w:cs="Times New Roman"/>
          <w:sz w:val="20"/>
          <w:szCs w:val="20"/>
        </w:rPr>
      </w:pPr>
      <w:bookmarkStart w:id="18" w:name="a_019"/>
      <w:bookmarkEnd w:id="18"/>
      <w:r w:rsidRPr="00DC6B18">
        <w:rPr>
          <w:rFonts w:ascii="Times New Roman" w:eastAsia="Times New Roman" w:hAnsi="Times New Roman" w:cs="Times New Roman"/>
          <w:b/>
          <w:bCs/>
          <w:sz w:val="20"/>
          <w:szCs w:val="20"/>
        </w:rPr>
        <w:t>ITEM 13.</w:t>
      </w:r>
      <w:r w:rsidRPr="00DC6B18">
        <w:rPr>
          <w:rFonts w:ascii="Times New Roman" w:eastAsia="Times New Roman" w:hAnsi="Times New Roman" w:cs="Times New Roman"/>
          <w:b/>
          <w:bCs/>
          <w:sz w:val="20"/>
          <w:szCs w:val="20"/>
        </w:rPr>
        <w:tab/>
        <w:t>CERTAIN RELATIONSHIPS AND RELATED TRANSACTIONS, AND DIRECTOR INDEPENDENCE</w:t>
      </w:r>
    </w:p>
    <w:p w:rsidR="00DC6B18" w:rsidRPr="00DC6B18" w:rsidRDefault="00DC6B18" w:rsidP="00DC6B18">
      <w:pPr>
        <w:spacing w:after="0" w:line="240" w:lineRule="auto"/>
        <w:ind w:firstLine="54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None</w:t>
      </w:r>
    </w:p>
    <w:p w:rsidR="00DC6B18" w:rsidRPr="00DC6B18" w:rsidRDefault="00DC6B18" w:rsidP="00DC6B18">
      <w:pPr>
        <w:spacing w:after="0" w:line="240" w:lineRule="auto"/>
        <w:ind w:firstLine="54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bookmarkStart w:id="19" w:name="a_020"/>
      <w:bookmarkEnd w:id="19"/>
      <w:r w:rsidRPr="00DC6B18">
        <w:rPr>
          <w:rFonts w:ascii="Times New Roman" w:eastAsia="Times New Roman" w:hAnsi="Times New Roman" w:cs="Times New Roman"/>
          <w:b/>
          <w:bCs/>
          <w:sz w:val="20"/>
          <w:szCs w:val="20"/>
        </w:rPr>
        <w:t>ITEM 14.</w:t>
      </w:r>
      <w:r w:rsidRPr="00DC6B18">
        <w:rPr>
          <w:rFonts w:ascii="Times New Roman" w:eastAsia="Times New Roman" w:hAnsi="Times New Roman" w:cs="Times New Roman"/>
          <w:b/>
          <w:bCs/>
          <w:sz w:val="20"/>
          <w:szCs w:val="20"/>
        </w:rPr>
        <w:tab/>
        <w:t>PRINCIPAL ACCOUNTANT FEES AND SERVICES</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The following table shows what Weinberg &amp; Baer LLC billed for the audit and other services for the years ended June 30, 2015 and 2014.</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6550"/>
        <w:gridCol w:w="93"/>
        <w:gridCol w:w="280"/>
        <w:gridCol w:w="1029"/>
        <w:gridCol w:w="93"/>
        <w:gridCol w:w="93"/>
        <w:gridCol w:w="100"/>
        <w:gridCol w:w="1029"/>
        <w:gridCol w:w="93"/>
      </w:tblGrid>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Borders>
              <w:bottom w:val="single" w:sz="12"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Year</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Ended</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June 30, 2015</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gridSpan w:val="2"/>
            <w:tcBorders>
              <w:bottom w:val="single" w:sz="12" w:space="0" w:color="000000"/>
            </w:tcBorders>
            <w:vAlign w:val="bottom"/>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Year</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Ended</w:t>
            </w:r>
          </w:p>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June 30, 2014</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350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Audit Fees</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1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550" w:type="pct"/>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12,000</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550" w:type="pct"/>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5,000 </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Audit-Related Fees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Tax Fees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All Other Fees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12"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12"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12"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tcBorders>
              <w:bottom w:val="single" w:sz="12" w:space="0" w:color="000000"/>
            </w:tcBorders>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center"/>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Total</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w:t>
            </w:r>
          </w:p>
        </w:tc>
        <w:tc>
          <w:tcPr>
            <w:tcW w:w="0" w:type="auto"/>
            <w:vAlign w:val="bottom"/>
            <w:hideMark/>
          </w:tcPr>
          <w:p w:rsidR="00DC6B18" w:rsidRPr="00DC6B18" w:rsidRDefault="00DC6B18" w:rsidP="00DC6B18">
            <w:pPr>
              <w:spacing w:after="0" w:line="256" w:lineRule="auto"/>
              <w:jc w:val="right"/>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54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u w:val="single"/>
        </w:rPr>
        <w:t>Audit Fees</w:t>
      </w:r>
      <w:r w:rsidRPr="00DC6B18">
        <w:rPr>
          <w:rFonts w:ascii="Times New Roman" w:eastAsia="Times New Roman" w:hAnsi="Times New Roman" w:cs="Times New Roman"/>
          <w:sz w:val="20"/>
          <w:szCs w:val="20"/>
        </w:rPr>
        <w:t>—This category includes the audit of the Company’s annual financial statements, review of financial statements included in the Company’s Form 10-Q Quarterly Reports and services that are normally provided by the independent auditors in connection with engagements for those years.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54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u w:val="single"/>
        </w:rPr>
        <w:t xml:space="preserve">Audit-Related Fees </w:t>
      </w:r>
      <w:r w:rsidRPr="00DC6B18">
        <w:rPr>
          <w:rFonts w:ascii="Times New Roman" w:eastAsia="Times New Roman" w:hAnsi="Times New Roman" w:cs="Times New Roman"/>
          <w:sz w:val="20"/>
          <w:szCs w:val="20"/>
        </w:rPr>
        <w:t>—N/A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54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u w:val="single"/>
        </w:rPr>
        <w:t>Tax Fees</w:t>
      </w:r>
      <w:r w:rsidRPr="00DC6B18">
        <w:rPr>
          <w:rFonts w:ascii="Times New Roman" w:eastAsia="Times New Roman" w:hAnsi="Times New Roman" w:cs="Times New Roman"/>
          <w:sz w:val="20"/>
          <w:szCs w:val="20"/>
        </w:rPr>
        <w:t>—N/A</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54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u w:val="single"/>
        </w:rPr>
        <w:t>Overview</w:t>
      </w:r>
      <w:r w:rsidRPr="00DC6B18">
        <w:rPr>
          <w:rFonts w:ascii="Times New Roman" w:eastAsia="Times New Roman" w:hAnsi="Times New Roman" w:cs="Times New Roman"/>
          <w:sz w:val="20"/>
          <w:szCs w:val="20"/>
        </w:rPr>
        <w:t xml:space="preserve"> —The Company’s Board reviews, and in its sole discretion pre-approves, our independent auditors’ annual engagement letter including proposed fees and all audit and non-audit services provided by the independent auditors. Accordingly, all services described under “Audit Fees,” “Audit-Related Fees,” and “Tax Fees” were pre-approved by our Company’s Board. The Board may not engage the independent auditors to perform the non-audit services proscribed by law or regulation.</w:t>
      </w:r>
    </w:p>
    <w:p w:rsidR="00DC6B18" w:rsidRPr="00DC6B18" w:rsidRDefault="00DC6B18" w:rsidP="00DC6B18">
      <w:pPr>
        <w:spacing w:after="0" w:line="240" w:lineRule="auto"/>
        <w:ind w:firstLine="540"/>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-48-</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0"/>
                <w:szCs w:val="20"/>
              </w:rPr>
            </w:pPr>
            <w:hyperlink w:anchor="a_001" w:history="1">
              <w:r w:rsidRPr="00DC6B18">
                <w:rPr>
                  <w:rFonts w:ascii="Times New Roman" w:eastAsia="Times New Roman" w:hAnsi="Times New Roman" w:cs="Times New Roman"/>
                  <w:i/>
                  <w:iCs/>
                  <w:color w:val="0000FF"/>
                  <w:sz w:val="20"/>
                  <w:szCs w:val="20"/>
                  <w:u w:val="single"/>
                </w:rPr>
                <w:t>(table of contents)</w:t>
              </w:r>
            </w:hyperlink>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line="240" w:lineRule="auto"/>
        <w:rPr>
          <w:rFonts w:ascii="Times New Roman" w:eastAsia="Times New Roman" w:hAnsi="Times New Roman" w:cs="Times New Roman"/>
          <w:sz w:val="20"/>
          <w:szCs w:val="20"/>
        </w:rPr>
      </w:pPr>
      <w:bookmarkStart w:id="20" w:name="a_021"/>
      <w:bookmarkEnd w:id="20"/>
      <w:r w:rsidRPr="00DC6B18">
        <w:rPr>
          <w:rFonts w:ascii="Times New Roman" w:eastAsia="Times New Roman" w:hAnsi="Times New Roman" w:cs="Times New Roman"/>
          <w:b/>
          <w:bCs/>
          <w:sz w:val="20"/>
          <w:szCs w:val="20"/>
        </w:rPr>
        <w:t>ITEM 15.</w:t>
      </w:r>
      <w:r w:rsidRPr="00DC6B18">
        <w:rPr>
          <w:rFonts w:ascii="Times New Roman" w:eastAsia="Times New Roman" w:hAnsi="Times New Roman" w:cs="Times New Roman"/>
          <w:b/>
          <w:bCs/>
          <w:sz w:val="20"/>
          <w:szCs w:val="20"/>
        </w:rPr>
        <w:tab/>
        <w:t>EXHIBITS AND FINANCIAL STATEMENT SCHEDULES</w:t>
      </w:r>
    </w:p>
    <w:tbl>
      <w:tblPr>
        <w:tblW w:w="5000" w:type="pct"/>
        <w:tblCellMar>
          <w:left w:w="0" w:type="dxa"/>
          <w:right w:w="0" w:type="dxa"/>
        </w:tblCellMar>
        <w:tblLook w:val="04A0" w:firstRow="1" w:lastRow="0" w:firstColumn="1" w:lastColumn="0" w:noHBand="0" w:noVBand="1"/>
      </w:tblPr>
      <w:tblGrid>
        <w:gridCol w:w="936"/>
        <w:gridCol w:w="94"/>
        <w:gridCol w:w="8330"/>
      </w:tblGrid>
      <w:tr w:rsidR="00DC6B18" w:rsidRPr="00DC6B18" w:rsidTr="00DC6B18">
        <w:tc>
          <w:tcPr>
            <w:tcW w:w="500" w:type="pct"/>
            <w:tcBorders>
              <w:bottom w:val="single" w:sz="8" w:space="0" w:color="000000"/>
            </w:tcBorders>
            <w:vAlign w:val="bottom"/>
            <w:hideMark/>
          </w:tcPr>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Regulation</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Number</w:t>
            </w:r>
          </w:p>
        </w:tc>
        <w:tc>
          <w:tcPr>
            <w:tcW w:w="50" w:type="pct"/>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4450" w:type="pct"/>
            <w:tcBorders>
              <w:bottom w:val="single" w:sz="8" w:space="0" w:color="000000"/>
            </w:tcBorders>
            <w:vAlign w:val="bottom"/>
            <w:hideMark/>
          </w:tcPr>
          <w:p w:rsidR="00DC6B18" w:rsidRPr="00DC6B18" w:rsidRDefault="00DC6B18" w:rsidP="00DC6B18">
            <w:pPr>
              <w:spacing w:after="0" w:line="256" w:lineRule="auto"/>
              <w:jc w:val="center"/>
              <w:rPr>
                <w:rFonts w:ascii="Calibri" w:eastAsia="Times New Roman" w:hAnsi="Calibri" w:cs="Times New Roman"/>
                <w:sz w:val="20"/>
                <w:szCs w:val="20"/>
              </w:rPr>
            </w:pPr>
            <w:r w:rsidRPr="00DC6B18">
              <w:rPr>
                <w:rFonts w:ascii="Times New Roman" w:eastAsia="Times New Roman" w:hAnsi="Times New Roman" w:cs="Times New Roman"/>
                <w:b/>
                <w:bCs/>
                <w:sz w:val="20"/>
                <w:szCs w:val="20"/>
              </w:rPr>
              <w:t>Exhibit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14.1</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Code of Ethics</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31.1</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hyperlink r:id="rId6" w:history="1">
              <w:r w:rsidRPr="00DC6B18">
                <w:rPr>
                  <w:rFonts w:ascii="Times New Roman" w:eastAsia="Times New Roman" w:hAnsi="Times New Roman" w:cs="Times New Roman"/>
                  <w:color w:val="0000FF"/>
                  <w:sz w:val="20"/>
                  <w:szCs w:val="20"/>
                  <w:u w:val="single"/>
                </w:rPr>
                <w:t>Rule 13a-14(a) Certification</w:t>
              </w:r>
            </w:hyperlink>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32.1</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hyperlink r:id="rId7" w:history="1">
              <w:r w:rsidRPr="00DC6B18">
                <w:rPr>
                  <w:rFonts w:ascii="Times New Roman" w:eastAsia="Times New Roman" w:hAnsi="Times New Roman" w:cs="Times New Roman"/>
                  <w:color w:val="0000FF"/>
                  <w:sz w:val="20"/>
                  <w:szCs w:val="20"/>
                  <w:u w:val="single"/>
                </w:rPr>
                <w:t>Certification Pursuant to 18 U.S.C. Section 1350, as Adopted Pursuant to Section 906 of the Sarbanes-Oxley Act of 2002</w:t>
              </w:r>
            </w:hyperlink>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101.INS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XBRL Instance Document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101.SCH</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XBRL Taxonomy Extension Schema Document.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101.CAL</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XBRL Taxonomy Calculation Linkbase Document.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101.LAB</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XBRL Taxonomy Label Linkbase Document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101.PRE</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XBRL Taxonomy Presentation Linkbase Document</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101.DEF</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XBRL Taxonomy Extension Definition Linkbase Document.</w:t>
            </w:r>
          </w:p>
        </w:tc>
      </w:tr>
      <w:tr w:rsidR="00DC6B18" w:rsidRPr="00DC6B18" w:rsidTr="00DC6B18">
        <w:tc>
          <w:tcPr>
            <w:tcW w:w="0" w:type="auto"/>
            <w:tcBorders>
              <w:bottom w:val="single" w:sz="8" w:space="0" w:color="000000"/>
            </w:tcBorders>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bl>
    <w:p w:rsidR="00DC6B18" w:rsidRPr="00DC6B18" w:rsidRDefault="00DC6B18" w:rsidP="00DC6B18">
      <w:pPr>
        <w:spacing w:after="0" w:line="240" w:lineRule="auto"/>
        <w:ind w:firstLine="36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Submitted electronically herewith</w:t>
      </w: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ind w:firstLine="360"/>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 </w:t>
      </w:r>
    </w:p>
    <w:p w:rsidR="00DC6B18" w:rsidRPr="00DC6B18" w:rsidRDefault="00DC6B18" w:rsidP="00DC6B18">
      <w:pPr>
        <w:spacing w:after="0" w:line="240" w:lineRule="auto"/>
        <w:jc w:val="center"/>
        <w:rPr>
          <w:rFonts w:ascii="Times New Roman" w:eastAsia="Times New Roman" w:hAnsi="Times New Roman" w:cs="Times New Roman"/>
          <w:sz w:val="20"/>
          <w:szCs w:val="20"/>
        </w:rPr>
      </w:pPr>
      <w:bookmarkStart w:id="21" w:name="a_022"/>
      <w:bookmarkEnd w:id="21"/>
      <w:r w:rsidRPr="00DC6B18">
        <w:rPr>
          <w:rFonts w:ascii="Times New Roman" w:eastAsia="Times New Roman" w:hAnsi="Times New Roman" w:cs="Times New Roman"/>
          <w:b/>
          <w:bCs/>
          <w:sz w:val="20"/>
          <w:szCs w:val="20"/>
        </w:rPr>
        <w:t>SIGNATURES</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jc w:val="both"/>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rPr>
          <w:rFonts w:ascii="Times New Roman" w:eastAsia="Times New Roman" w:hAnsi="Times New Roman" w:cs="Times New Roman"/>
          <w:sz w:val="20"/>
          <w:szCs w:val="20"/>
        </w:rPr>
      </w:pPr>
      <w:r w:rsidRPr="00DC6B18">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DC6B18" w:rsidRPr="00DC6B18" w:rsidTr="00DC6B18">
        <w:tc>
          <w:tcPr>
            <w:tcW w:w="90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295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5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1050" w:type="pct"/>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Signature</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Titles</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Date</w:t>
            </w:r>
          </w:p>
        </w:tc>
      </w:tr>
      <w:tr w:rsidR="00DC6B18" w:rsidRPr="00DC6B18" w:rsidTr="00DC6B18">
        <w:tc>
          <w:tcPr>
            <w:tcW w:w="0" w:type="auto"/>
            <w:gridSpan w:val="3"/>
            <w:vAlign w:val="bottom"/>
            <w:hideMark/>
          </w:tcPr>
          <w:p w:rsidR="00DC6B18" w:rsidRPr="00DC6B18" w:rsidRDefault="00DC6B18" w:rsidP="00DC6B18">
            <w:pPr>
              <w:spacing w:after="0" w:line="256" w:lineRule="auto"/>
              <w:rPr>
                <w:rFonts w:ascii="Calibri" w:eastAsia="Times New Roman" w:hAnsi="Calibri" w:cs="Times New Roman"/>
                <w:sz w:val="20"/>
                <w:szCs w:val="20"/>
                <w:u w:val="single"/>
              </w:rPr>
            </w:pPr>
            <w:r w:rsidRPr="00DC6B18">
              <w:rPr>
                <w:rFonts w:ascii="Times New Roman" w:eastAsia="Times New Roman" w:hAnsi="Times New Roman" w:cs="Times New Roman"/>
                <w:i/>
                <w:iCs/>
                <w:sz w:val="20"/>
                <w:szCs w:val="20"/>
                <w:u w:val="single"/>
              </w:rPr>
              <w:lastRenderedPageBreak/>
              <w:t>/s/</w:t>
            </w:r>
            <w:r w:rsidRPr="00DC6B18">
              <w:rPr>
                <w:rFonts w:ascii="Times New Roman" w:eastAsia="Times New Roman" w:hAnsi="Times New Roman" w:cs="Times New Roman"/>
                <w:sz w:val="20"/>
                <w:szCs w:val="20"/>
                <w:u w:val="single"/>
              </w:rPr>
              <w:t> </w:t>
            </w:r>
            <w:r w:rsidRPr="00DC6B18">
              <w:rPr>
                <w:rFonts w:ascii="Times New Roman" w:eastAsia="Times New Roman" w:hAnsi="Times New Roman" w:cs="Times New Roman"/>
                <w:i/>
                <w:iCs/>
                <w:sz w:val="20"/>
                <w:szCs w:val="20"/>
                <w:u w:val="single"/>
              </w:rPr>
              <w:t>Elliot Ehrlich</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Elliot Ehrlich</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Chief Executive Officer, Chief Financial Officer, Principal Executive Officer and Principal Financial and Accounting Officer, Corporate Secretary, Treasurer and Chairman of the Board</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September 30, 2015</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gridSpan w:val="3"/>
            <w:vAlign w:val="bottom"/>
            <w:hideMark/>
          </w:tcPr>
          <w:p w:rsidR="00DC6B18" w:rsidRPr="00DC6B18" w:rsidRDefault="00DC6B18" w:rsidP="00DC6B18">
            <w:pPr>
              <w:spacing w:after="0" w:line="256" w:lineRule="auto"/>
              <w:rPr>
                <w:rFonts w:ascii="Calibri" w:eastAsia="Times New Roman" w:hAnsi="Calibri" w:cs="Times New Roman"/>
                <w:sz w:val="20"/>
                <w:szCs w:val="20"/>
                <w:u w:val="single"/>
              </w:rPr>
            </w:pPr>
            <w:r w:rsidRPr="00DC6B18">
              <w:rPr>
                <w:rFonts w:ascii="Times New Roman" w:eastAsia="Times New Roman" w:hAnsi="Times New Roman" w:cs="Times New Roman"/>
                <w:i/>
                <w:iCs/>
                <w:sz w:val="20"/>
                <w:szCs w:val="20"/>
                <w:u w:val="single"/>
              </w:rPr>
              <w:t>/s/ Rajah Menon</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r>
      <w:tr w:rsidR="00DC6B18" w:rsidRPr="00DC6B18" w:rsidTr="00DC6B18">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Rajah Menon</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President and Director</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Calibri" w:eastAsia="Times New Roman" w:hAnsi="Calibri" w:cs="Times New Roman"/>
                <w:sz w:val="20"/>
                <w:szCs w:val="20"/>
              </w:rPr>
              <w:t> </w:t>
            </w:r>
          </w:p>
        </w:tc>
        <w:tc>
          <w:tcPr>
            <w:tcW w:w="0" w:type="auto"/>
            <w:vAlign w:val="bottom"/>
            <w:hideMark/>
          </w:tcPr>
          <w:p w:rsidR="00DC6B18" w:rsidRPr="00DC6B18" w:rsidRDefault="00DC6B18" w:rsidP="00DC6B18">
            <w:pPr>
              <w:spacing w:after="0" w:line="256" w:lineRule="auto"/>
              <w:rPr>
                <w:rFonts w:ascii="Calibri" w:eastAsia="Times New Roman" w:hAnsi="Calibri" w:cs="Times New Roman"/>
                <w:sz w:val="20"/>
                <w:szCs w:val="20"/>
              </w:rPr>
            </w:pPr>
            <w:r w:rsidRPr="00DC6B18">
              <w:rPr>
                <w:rFonts w:ascii="Times New Roman" w:eastAsia="Times New Roman" w:hAnsi="Times New Roman" w:cs="Times New Roman"/>
                <w:sz w:val="20"/>
                <w:szCs w:val="20"/>
              </w:rPr>
              <w:t>September 30, 2015</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DC6B18" w:rsidRPr="00DC6B18" w:rsidTr="00DC6B18">
        <w:tc>
          <w:tcPr>
            <w:tcW w:w="5000" w:type="pct"/>
            <w:gridSpan w:val="3"/>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-49-</w:t>
            </w:r>
          </w:p>
        </w:tc>
      </w:tr>
      <w:tr w:rsidR="00DC6B18" w:rsidRPr="00DC6B18" w:rsidTr="00DC6B18">
        <w:tc>
          <w:tcPr>
            <w:tcW w:w="1650" w:type="pct"/>
            <w:vAlign w:val="center"/>
            <w:hideMark/>
          </w:tcPr>
          <w:p w:rsidR="00DC6B18" w:rsidRPr="00DC6B18" w:rsidRDefault="00DC6B18" w:rsidP="00DC6B18">
            <w:pPr>
              <w:spacing w:after="0" w:line="240" w:lineRule="auto"/>
              <w:rPr>
                <w:rFonts w:ascii="Times New Roman" w:eastAsia="Times New Roman" w:hAnsi="Times New Roman" w:cs="Times New Roman"/>
                <w:sz w:val="24"/>
                <w:szCs w:val="24"/>
              </w:rPr>
            </w:pPr>
          </w:p>
        </w:tc>
        <w:tc>
          <w:tcPr>
            <w:tcW w:w="1700" w:type="pct"/>
            <w:vAlign w:val="center"/>
            <w:hideMark/>
          </w:tcPr>
          <w:p w:rsidR="00DC6B18" w:rsidRPr="00DC6B18" w:rsidRDefault="00DC6B18" w:rsidP="00DC6B18">
            <w:pPr>
              <w:spacing w:after="0" w:line="240" w:lineRule="auto"/>
              <w:jc w:val="center"/>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c>
          <w:tcPr>
            <w:tcW w:w="1650" w:type="pct"/>
            <w:vAlign w:val="center"/>
            <w:hideMark/>
          </w:tcPr>
          <w:p w:rsidR="00DC6B18" w:rsidRPr="00DC6B18" w:rsidRDefault="00DC6B18" w:rsidP="00DC6B18">
            <w:pPr>
              <w:spacing w:after="0" w:line="240" w:lineRule="auto"/>
              <w:jc w:val="right"/>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tc>
      </w:tr>
    </w:tbl>
    <w:p w:rsidR="00DC6B18" w:rsidRPr="00DC6B18" w:rsidRDefault="00DC6B18" w:rsidP="00DC6B18">
      <w:pPr>
        <w:spacing w:after="0" w:line="240" w:lineRule="auto"/>
        <w:ind w:firstLine="720"/>
        <w:rPr>
          <w:rFonts w:ascii="Times New Roman" w:eastAsia="Times New Roman" w:hAnsi="Times New Roman" w:cs="Times New Roman"/>
          <w:sz w:val="20"/>
          <w:szCs w:val="20"/>
        </w:rPr>
      </w:pPr>
      <w:r w:rsidRPr="00DC6B18">
        <w:rPr>
          <w:rFonts w:ascii="Times New Roman" w:eastAsia="Times New Roman" w:hAnsi="Times New Roman" w:cs="Times New Roman"/>
          <w:sz w:val="20"/>
          <w:szCs w:val="20"/>
        </w:rPr>
        <w:t> </w:t>
      </w:r>
    </w:p>
    <w:p w:rsidR="00DC6B18" w:rsidRPr="00DC6B18" w:rsidRDefault="00DC6B18" w:rsidP="00DC6B18">
      <w:pPr>
        <w:spacing w:line="256" w:lineRule="auto"/>
        <w:rPr>
          <w:rFonts w:ascii="Calibri" w:eastAsia="Times New Roman" w:hAnsi="Calibri" w:cs="Times New Roman"/>
        </w:rPr>
      </w:pPr>
      <w:r w:rsidRPr="00DC6B18">
        <w:rPr>
          <w:rFonts w:ascii="Calibri" w:eastAsia="Times New Roman" w:hAnsi="Calibri" w:cs="Times New Roman"/>
        </w:rPr>
        <w:t> </w:t>
      </w:r>
    </w:p>
    <w:p w:rsidR="009525FD" w:rsidRDefault="009525FD">
      <w:bookmarkStart w:id="22" w:name="_GoBack"/>
      <w:bookmarkEnd w:id="22"/>
    </w:p>
    <w:sectPr w:rsidR="0095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18"/>
    <w:rsid w:val="00004760"/>
    <w:rsid w:val="00023BE0"/>
    <w:rsid w:val="00041BD8"/>
    <w:rsid w:val="000423C6"/>
    <w:rsid w:val="0004695F"/>
    <w:rsid w:val="000A5E83"/>
    <w:rsid w:val="000B1ED3"/>
    <w:rsid w:val="000D4A29"/>
    <w:rsid w:val="000D6203"/>
    <w:rsid w:val="000E4B73"/>
    <w:rsid w:val="000F29BD"/>
    <w:rsid w:val="00155122"/>
    <w:rsid w:val="00162447"/>
    <w:rsid w:val="00173C44"/>
    <w:rsid w:val="0017578D"/>
    <w:rsid w:val="001A16E3"/>
    <w:rsid w:val="001A1FDF"/>
    <w:rsid w:val="001C5708"/>
    <w:rsid w:val="001C772A"/>
    <w:rsid w:val="001D548B"/>
    <w:rsid w:val="002026CE"/>
    <w:rsid w:val="00205AAD"/>
    <w:rsid w:val="00233549"/>
    <w:rsid w:val="00234A86"/>
    <w:rsid w:val="002542A5"/>
    <w:rsid w:val="0025550B"/>
    <w:rsid w:val="002563B0"/>
    <w:rsid w:val="0028007D"/>
    <w:rsid w:val="0028051A"/>
    <w:rsid w:val="00285A11"/>
    <w:rsid w:val="002B2AFB"/>
    <w:rsid w:val="002C7AD7"/>
    <w:rsid w:val="002D26ED"/>
    <w:rsid w:val="0034374F"/>
    <w:rsid w:val="00353D4E"/>
    <w:rsid w:val="00355A63"/>
    <w:rsid w:val="0037150B"/>
    <w:rsid w:val="0037228D"/>
    <w:rsid w:val="003739B9"/>
    <w:rsid w:val="0038695A"/>
    <w:rsid w:val="00390BDF"/>
    <w:rsid w:val="0039639F"/>
    <w:rsid w:val="003D6352"/>
    <w:rsid w:val="003E008A"/>
    <w:rsid w:val="003F3659"/>
    <w:rsid w:val="00404084"/>
    <w:rsid w:val="00406F3E"/>
    <w:rsid w:val="00425051"/>
    <w:rsid w:val="0045713E"/>
    <w:rsid w:val="00473F5B"/>
    <w:rsid w:val="00480DE6"/>
    <w:rsid w:val="004958F8"/>
    <w:rsid w:val="004B0E5D"/>
    <w:rsid w:val="004B42A7"/>
    <w:rsid w:val="004C5EA2"/>
    <w:rsid w:val="004D0ED7"/>
    <w:rsid w:val="004E5D88"/>
    <w:rsid w:val="004E5F01"/>
    <w:rsid w:val="004F68D3"/>
    <w:rsid w:val="00520A6D"/>
    <w:rsid w:val="00572A1A"/>
    <w:rsid w:val="00584F8F"/>
    <w:rsid w:val="005B1C31"/>
    <w:rsid w:val="005D2EAD"/>
    <w:rsid w:val="005D5EC2"/>
    <w:rsid w:val="006043B7"/>
    <w:rsid w:val="00612C1A"/>
    <w:rsid w:val="006207B0"/>
    <w:rsid w:val="00621B15"/>
    <w:rsid w:val="0063434E"/>
    <w:rsid w:val="006420A3"/>
    <w:rsid w:val="006554DB"/>
    <w:rsid w:val="00694F4A"/>
    <w:rsid w:val="006B066E"/>
    <w:rsid w:val="006B4C83"/>
    <w:rsid w:val="00753653"/>
    <w:rsid w:val="00785DC0"/>
    <w:rsid w:val="007A22C3"/>
    <w:rsid w:val="007A5E01"/>
    <w:rsid w:val="007C235D"/>
    <w:rsid w:val="007C72AE"/>
    <w:rsid w:val="007E6C67"/>
    <w:rsid w:val="008006BB"/>
    <w:rsid w:val="00816939"/>
    <w:rsid w:val="00843904"/>
    <w:rsid w:val="0085265D"/>
    <w:rsid w:val="00867B8C"/>
    <w:rsid w:val="008A1CAB"/>
    <w:rsid w:val="008B3E35"/>
    <w:rsid w:val="008B40B6"/>
    <w:rsid w:val="008E0686"/>
    <w:rsid w:val="009208F2"/>
    <w:rsid w:val="00924BFE"/>
    <w:rsid w:val="00925DDF"/>
    <w:rsid w:val="00927047"/>
    <w:rsid w:val="0093459D"/>
    <w:rsid w:val="00946EDD"/>
    <w:rsid w:val="009525FD"/>
    <w:rsid w:val="00963757"/>
    <w:rsid w:val="0098576A"/>
    <w:rsid w:val="0098613D"/>
    <w:rsid w:val="009907F8"/>
    <w:rsid w:val="00992F0C"/>
    <w:rsid w:val="009B4F2D"/>
    <w:rsid w:val="009F024A"/>
    <w:rsid w:val="009F73AC"/>
    <w:rsid w:val="00A028C4"/>
    <w:rsid w:val="00A050D8"/>
    <w:rsid w:val="00A37686"/>
    <w:rsid w:val="00A93704"/>
    <w:rsid w:val="00AB3FB0"/>
    <w:rsid w:val="00AD6AEB"/>
    <w:rsid w:val="00AE79FB"/>
    <w:rsid w:val="00B74F32"/>
    <w:rsid w:val="00B8492E"/>
    <w:rsid w:val="00BB23A8"/>
    <w:rsid w:val="00BC4F7A"/>
    <w:rsid w:val="00BD31B8"/>
    <w:rsid w:val="00BD70E0"/>
    <w:rsid w:val="00BF3115"/>
    <w:rsid w:val="00C02E37"/>
    <w:rsid w:val="00C0555D"/>
    <w:rsid w:val="00C06F24"/>
    <w:rsid w:val="00C15D72"/>
    <w:rsid w:val="00C161CD"/>
    <w:rsid w:val="00C16882"/>
    <w:rsid w:val="00C328DB"/>
    <w:rsid w:val="00C6536B"/>
    <w:rsid w:val="00C70801"/>
    <w:rsid w:val="00CC376F"/>
    <w:rsid w:val="00CC6DD5"/>
    <w:rsid w:val="00CF3C46"/>
    <w:rsid w:val="00D1263F"/>
    <w:rsid w:val="00D378E6"/>
    <w:rsid w:val="00D4596F"/>
    <w:rsid w:val="00D74206"/>
    <w:rsid w:val="00DA444F"/>
    <w:rsid w:val="00DB0F45"/>
    <w:rsid w:val="00DB749A"/>
    <w:rsid w:val="00DC6B18"/>
    <w:rsid w:val="00DE579C"/>
    <w:rsid w:val="00E411E9"/>
    <w:rsid w:val="00E45538"/>
    <w:rsid w:val="00E67AED"/>
    <w:rsid w:val="00EC3489"/>
    <w:rsid w:val="00ED16DA"/>
    <w:rsid w:val="00EF619F"/>
    <w:rsid w:val="00F152AB"/>
    <w:rsid w:val="00F455C0"/>
    <w:rsid w:val="00F536A6"/>
    <w:rsid w:val="00F559E6"/>
    <w:rsid w:val="00F65BA7"/>
    <w:rsid w:val="00F755A0"/>
    <w:rsid w:val="00FB7737"/>
    <w:rsid w:val="00FC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0ECAC-D689-461C-96FC-50118E32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B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6B18"/>
    <w:rPr>
      <w:color w:val="0000FF"/>
      <w:u w:val="single"/>
    </w:rPr>
  </w:style>
  <w:style w:type="character" w:styleId="FollowedHyperlink">
    <w:name w:val="FollowedHyperlink"/>
    <w:basedOn w:val="DefaultParagraphFont"/>
    <w:uiPriority w:val="99"/>
    <w:semiHidden/>
    <w:unhideWhenUsed/>
    <w:rsid w:val="00DC6B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07639">
      <w:bodyDiv w:val="1"/>
      <w:marLeft w:val="0"/>
      <w:marRight w:val="0"/>
      <w:marTop w:val="0"/>
      <w:marBottom w:val="0"/>
      <w:divBdr>
        <w:top w:val="none" w:sz="0" w:space="0" w:color="auto"/>
        <w:left w:val="none" w:sz="0" w:space="0" w:color="auto"/>
        <w:bottom w:val="none" w:sz="0" w:space="0" w:color="auto"/>
        <w:right w:val="none" w:sz="0" w:space="0" w:color="auto"/>
      </w:divBdr>
      <w:divsChild>
        <w:div w:id="2112046930">
          <w:marLeft w:val="0"/>
          <w:marRight w:val="0"/>
          <w:marTop w:val="0"/>
          <w:marBottom w:val="0"/>
          <w:divBdr>
            <w:top w:val="none" w:sz="0" w:space="0" w:color="auto"/>
            <w:left w:val="none" w:sz="0" w:space="0" w:color="auto"/>
            <w:bottom w:val="none" w:sz="0" w:space="0" w:color="auto"/>
            <w:right w:val="none" w:sz="0" w:space="0" w:color="auto"/>
          </w:divBdr>
          <w:divsChild>
            <w:div w:id="2125028777">
              <w:marLeft w:val="0"/>
              <w:marRight w:val="0"/>
              <w:marTop w:val="0"/>
              <w:marBottom w:val="120"/>
              <w:divBdr>
                <w:top w:val="none" w:sz="0" w:space="0" w:color="auto"/>
                <w:left w:val="none" w:sz="0" w:space="0" w:color="auto"/>
                <w:bottom w:val="none" w:sz="0" w:space="0" w:color="auto"/>
                <w:right w:val="none" w:sz="0" w:space="0" w:color="auto"/>
              </w:divBdr>
            </w:div>
            <w:div w:id="1574504679">
              <w:marLeft w:val="0"/>
              <w:marRight w:val="0"/>
              <w:marTop w:val="120"/>
              <w:marBottom w:val="120"/>
              <w:divBdr>
                <w:top w:val="none" w:sz="0" w:space="0" w:color="auto"/>
                <w:left w:val="none" w:sz="0" w:space="0" w:color="auto"/>
                <w:bottom w:val="single" w:sz="8" w:space="0" w:color="000000"/>
                <w:right w:val="none" w:sz="0" w:space="0" w:color="auto"/>
              </w:divBdr>
            </w:div>
            <w:div w:id="291912769">
              <w:marLeft w:val="0"/>
              <w:marRight w:val="0"/>
              <w:marTop w:val="120"/>
              <w:marBottom w:val="120"/>
              <w:divBdr>
                <w:top w:val="none" w:sz="0" w:space="0" w:color="auto"/>
                <w:left w:val="none" w:sz="0" w:space="0" w:color="auto"/>
                <w:bottom w:val="single" w:sz="8" w:space="0" w:color="000000"/>
                <w:right w:val="none" w:sz="0" w:space="0" w:color="auto"/>
              </w:divBdr>
            </w:div>
            <w:div w:id="969870504">
              <w:marLeft w:val="0"/>
              <w:marRight w:val="0"/>
              <w:marTop w:val="120"/>
              <w:marBottom w:val="120"/>
              <w:divBdr>
                <w:top w:val="none" w:sz="0" w:space="0" w:color="auto"/>
                <w:left w:val="none" w:sz="0" w:space="0" w:color="auto"/>
                <w:bottom w:val="single" w:sz="8" w:space="0" w:color="000000"/>
                <w:right w:val="none" w:sz="0" w:space="0" w:color="auto"/>
              </w:divBdr>
            </w:div>
            <w:div w:id="1265532581">
              <w:marLeft w:val="0"/>
              <w:marRight w:val="0"/>
              <w:marTop w:val="120"/>
              <w:marBottom w:val="120"/>
              <w:divBdr>
                <w:top w:val="none" w:sz="0" w:space="0" w:color="auto"/>
                <w:left w:val="none" w:sz="0" w:space="0" w:color="auto"/>
                <w:bottom w:val="single" w:sz="8" w:space="0" w:color="000000"/>
                <w:right w:val="none" w:sz="0" w:space="0" w:color="auto"/>
              </w:divBdr>
            </w:div>
            <w:div w:id="1171261810">
              <w:marLeft w:val="0"/>
              <w:marRight w:val="0"/>
              <w:marTop w:val="120"/>
              <w:marBottom w:val="120"/>
              <w:divBdr>
                <w:top w:val="none" w:sz="0" w:space="0" w:color="auto"/>
                <w:left w:val="none" w:sz="0" w:space="0" w:color="auto"/>
                <w:bottom w:val="single" w:sz="8" w:space="0" w:color="000000"/>
                <w:right w:val="none" w:sz="0" w:space="0" w:color="auto"/>
              </w:divBdr>
            </w:div>
            <w:div w:id="1019938242">
              <w:marLeft w:val="0"/>
              <w:marRight w:val="0"/>
              <w:marTop w:val="120"/>
              <w:marBottom w:val="120"/>
              <w:divBdr>
                <w:top w:val="none" w:sz="0" w:space="0" w:color="auto"/>
                <w:left w:val="none" w:sz="0" w:space="0" w:color="auto"/>
                <w:bottom w:val="single" w:sz="8" w:space="0" w:color="000000"/>
                <w:right w:val="none" w:sz="0" w:space="0" w:color="auto"/>
              </w:divBdr>
            </w:div>
            <w:div w:id="1496068589">
              <w:marLeft w:val="0"/>
              <w:marRight w:val="0"/>
              <w:marTop w:val="120"/>
              <w:marBottom w:val="120"/>
              <w:divBdr>
                <w:top w:val="none" w:sz="0" w:space="0" w:color="auto"/>
                <w:left w:val="none" w:sz="0" w:space="0" w:color="auto"/>
                <w:bottom w:val="single" w:sz="8" w:space="0" w:color="000000"/>
                <w:right w:val="none" w:sz="0" w:space="0" w:color="auto"/>
              </w:divBdr>
            </w:div>
            <w:div w:id="497505478">
              <w:marLeft w:val="0"/>
              <w:marRight w:val="0"/>
              <w:marTop w:val="120"/>
              <w:marBottom w:val="120"/>
              <w:divBdr>
                <w:top w:val="none" w:sz="0" w:space="0" w:color="auto"/>
                <w:left w:val="none" w:sz="0" w:space="0" w:color="auto"/>
                <w:bottom w:val="single" w:sz="8" w:space="0" w:color="000000"/>
                <w:right w:val="none" w:sz="0" w:space="0" w:color="auto"/>
              </w:divBdr>
            </w:div>
            <w:div w:id="768696522">
              <w:marLeft w:val="0"/>
              <w:marRight w:val="0"/>
              <w:marTop w:val="120"/>
              <w:marBottom w:val="120"/>
              <w:divBdr>
                <w:top w:val="none" w:sz="0" w:space="0" w:color="auto"/>
                <w:left w:val="none" w:sz="0" w:space="0" w:color="auto"/>
                <w:bottom w:val="single" w:sz="8" w:space="0" w:color="000000"/>
                <w:right w:val="none" w:sz="0" w:space="0" w:color="auto"/>
              </w:divBdr>
            </w:div>
            <w:div w:id="620065892">
              <w:marLeft w:val="0"/>
              <w:marRight w:val="0"/>
              <w:marTop w:val="120"/>
              <w:marBottom w:val="120"/>
              <w:divBdr>
                <w:top w:val="none" w:sz="0" w:space="0" w:color="auto"/>
                <w:left w:val="none" w:sz="0" w:space="0" w:color="auto"/>
                <w:bottom w:val="single" w:sz="8" w:space="0" w:color="000000"/>
                <w:right w:val="none" w:sz="0" w:space="0" w:color="auto"/>
              </w:divBdr>
            </w:div>
            <w:div w:id="1228371224">
              <w:marLeft w:val="0"/>
              <w:marRight w:val="0"/>
              <w:marTop w:val="120"/>
              <w:marBottom w:val="120"/>
              <w:divBdr>
                <w:top w:val="none" w:sz="0" w:space="0" w:color="auto"/>
                <w:left w:val="none" w:sz="0" w:space="0" w:color="auto"/>
                <w:bottom w:val="single" w:sz="8" w:space="0" w:color="000000"/>
                <w:right w:val="none" w:sz="0" w:space="0" w:color="auto"/>
              </w:divBdr>
            </w:div>
            <w:div w:id="1585070439">
              <w:marLeft w:val="0"/>
              <w:marRight w:val="0"/>
              <w:marTop w:val="120"/>
              <w:marBottom w:val="120"/>
              <w:divBdr>
                <w:top w:val="none" w:sz="0" w:space="0" w:color="auto"/>
                <w:left w:val="none" w:sz="0" w:space="0" w:color="auto"/>
                <w:bottom w:val="single" w:sz="8" w:space="0" w:color="000000"/>
                <w:right w:val="none" w:sz="0" w:space="0" w:color="auto"/>
              </w:divBdr>
            </w:div>
            <w:div w:id="615797277">
              <w:marLeft w:val="0"/>
              <w:marRight w:val="0"/>
              <w:marTop w:val="120"/>
              <w:marBottom w:val="120"/>
              <w:divBdr>
                <w:top w:val="none" w:sz="0" w:space="0" w:color="auto"/>
                <w:left w:val="none" w:sz="0" w:space="0" w:color="auto"/>
                <w:bottom w:val="single" w:sz="8" w:space="0" w:color="000000"/>
                <w:right w:val="none" w:sz="0" w:space="0" w:color="auto"/>
              </w:divBdr>
            </w:div>
            <w:div w:id="780690627">
              <w:marLeft w:val="0"/>
              <w:marRight w:val="0"/>
              <w:marTop w:val="120"/>
              <w:marBottom w:val="120"/>
              <w:divBdr>
                <w:top w:val="none" w:sz="0" w:space="0" w:color="auto"/>
                <w:left w:val="none" w:sz="0" w:space="0" w:color="auto"/>
                <w:bottom w:val="single" w:sz="8" w:space="0" w:color="000000"/>
                <w:right w:val="none" w:sz="0" w:space="0" w:color="auto"/>
              </w:divBdr>
            </w:div>
            <w:div w:id="1383216207">
              <w:marLeft w:val="0"/>
              <w:marRight w:val="0"/>
              <w:marTop w:val="120"/>
              <w:marBottom w:val="120"/>
              <w:divBdr>
                <w:top w:val="none" w:sz="0" w:space="0" w:color="auto"/>
                <w:left w:val="none" w:sz="0" w:space="0" w:color="auto"/>
                <w:bottom w:val="single" w:sz="8" w:space="0" w:color="000000"/>
                <w:right w:val="none" w:sz="0" w:space="0" w:color="auto"/>
              </w:divBdr>
            </w:div>
            <w:div w:id="1038043108">
              <w:marLeft w:val="0"/>
              <w:marRight w:val="0"/>
              <w:marTop w:val="120"/>
              <w:marBottom w:val="120"/>
              <w:divBdr>
                <w:top w:val="none" w:sz="0" w:space="0" w:color="auto"/>
                <w:left w:val="none" w:sz="0" w:space="0" w:color="auto"/>
                <w:bottom w:val="single" w:sz="8" w:space="0" w:color="000000"/>
                <w:right w:val="none" w:sz="0" w:space="0" w:color="auto"/>
              </w:divBdr>
            </w:div>
            <w:div w:id="1065840648">
              <w:marLeft w:val="0"/>
              <w:marRight w:val="0"/>
              <w:marTop w:val="120"/>
              <w:marBottom w:val="120"/>
              <w:divBdr>
                <w:top w:val="none" w:sz="0" w:space="0" w:color="auto"/>
                <w:left w:val="none" w:sz="0" w:space="0" w:color="auto"/>
                <w:bottom w:val="single" w:sz="8" w:space="0" w:color="000000"/>
                <w:right w:val="none" w:sz="0" w:space="0" w:color="auto"/>
              </w:divBdr>
            </w:div>
            <w:div w:id="313334133">
              <w:marLeft w:val="0"/>
              <w:marRight w:val="0"/>
              <w:marTop w:val="120"/>
              <w:marBottom w:val="120"/>
              <w:divBdr>
                <w:top w:val="none" w:sz="0" w:space="0" w:color="auto"/>
                <w:left w:val="none" w:sz="0" w:space="0" w:color="auto"/>
                <w:bottom w:val="single" w:sz="8" w:space="0" w:color="000000"/>
                <w:right w:val="none" w:sz="0" w:space="0" w:color="auto"/>
              </w:divBdr>
            </w:div>
            <w:div w:id="440615887">
              <w:marLeft w:val="0"/>
              <w:marRight w:val="0"/>
              <w:marTop w:val="120"/>
              <w:marBottom w:val="120"/>
              <w:divBdr>
                <w:top w:val="none" w:sz="0" w:space="0" w:color="auto"/>
                <w:left w:val="none" w:sz="0" w:space="0" w:color="auto"/>
                <w:bottom w:val="single" w:sz="8" w:space="0" w:color="000000"/>
                <w:right w:val="none" w:sz="0" w:space="0" w:color="auto"/>
              </w:divBdr>
            </w:div>
            <w:div w:id="872425047">
              <w:marLeft w:val="0"/>
              <w:marRight w:val="0"/>
              <w:marTop w:val="120"/>
              <w:marBottom w:val="120"/>
              <w:divBdr>
                <w:top w:val="none" w:sz="0" w:space="0" w:color="auto"/>
                <w:left w:val="none" w:sz="0" w:space="0" w:color="auto"/>
                <w:bottom w:val="single" w:sz="8" w:space="0" w:color="000000"/>
                <w:right w:val="none" w:sz="0" w:space="0" w:color="auto"/>
              </w:divBdr>
            </w:div>
            <w:div w:id="1862862359">
              <w:marLeft w:val="0"/>
              <w:marRight w:val="0"/>
              <w:marTop w:val="120"/>
              <w:marBottom w:val="120"/>
              <w:divBdr>
                <w:top w:val="none" w:sz="0" w:space="0" w:color="auto"/>
                <w:left w:val="none" w:sz="0" w:space="0" w:color="auto"/>
                <w:bottom w:val="single" w:sz="8" w:space="0" w:color="000000"/>
                <w:right w:val="none" w:sz="0" w:space="0" w:color="auto"/>
              </w:divBdr>
            </w:div>
            <w:div w:id="1411544453">
              <w:marLeft w:val="0"/>
              <w:marRight w:val="0"/>
              <w:marTop w:val="120"/>
              <w:marBottom w:val="120"/>
              <w:divBdr>
                <w:top w:val="none" w:sz="0" w:space="0" w:color="auto"/>
                <w:left w:val="none" w:sz="0" w:space="0" w:color="auto"/>
                <w:bottom w:val="single" w:sz="8" w:space="0" w:color="000000"/>
                <w:right w:val="none" w:sz="0" w:space="0" w:color="auto"/>
              </w:divBdr>
            </w:div>
            <w:div w:id="1916013663">
              <w:marLeft w:val="0"/>
              <w:marRight w:val="0"/>
              <w:marTop w:val="120"/>
              <w:marBottom w:val="120"/>
              <w:divBdr>
                <w:top w:val="none" w:sz="0" w:space="0" w:color="auto"/>
                <w:left w:val="none" w:sz="0" w:space="0" w:color="auto"/>
                <w:bottom w:val="single" w:sz="8" w:space="0" w:color="000000"/>
                <w:right w:val="none" w:sz="0" w:space="0" w:color="auto"/>
              </w:divBdr>
            </w:div>
            <w:div w:id="481197504">
              <w:marLeft w:val="0"/>
              <w:marRight w:val="0"/>
              <w:marTop w:val="120"/>
              <w:marBottom w:val="120"/>
              <w:divBdr>
                <w:top w:val="none" w:sz="0" w:space="0" w:color="auto"/>
                <w:left w:val="none" w:sz="0" w:space="0" w:color="auto"/>
                <w:bottom w:val="single" w:sz="8" w:space="0" w:color="000000"/>
                <w:right w:val="none" w:sz="0" w:space="0" w:color="auto"/>
              </w:divBdr>
            </w:div>
            <w:div w:id="1044863003">
              <w:marLeft w:val="0"/>
              <w:marRight w:val="0"/>
              <w:marTop w:val="120"/>
              <w:marBottom w:val="120"/>
              <w:divBdr>
                <w:top w:val="none" w:sz="0" w:space="0" w:color="auto"/>
                <w:left w:val="none" w:sz="0" w:space="0" w:color="auto"/>
                <w:bottom w:val="single" w:sz="8" w:space="0" w:color="000000"/>
                <w:right w:val="none" w:sz="0" w:space="0" w:color="auto"/>
              </w:divBdr>
            </w:div>
            <w:div w:id="32852428">
              <w:marLeft w:val="0"/>
              <w:marRight w:val="0"/>
              <w:marTop w:val="120"/>
              <w:marBottom w:val="120"/>
              <w:divBdr>
                <w:top w:val="none" w:sz="0" w:space="0" w:color="auto"/>
                <w:left w:val="none" w:sz="0" w:space="0" w:color="auto"/>
                <w:bottom w:val="single" w:sz="8" w:space="0" w:color="000000"/>
                <w:right w:val="none" w:sz="0" w:space="0" w:color="auto"/>
              </w:divBdr>
            </w:div>
            <w:div w:id="1841120334">
              <w:marLeft w:val="0"/>
              <w:marRight w:val="0"/>
              <w:marTop w:val="120"/>
              <w:marBottom w:val="120"/>
              <w:divBdr>
                <w:top w:val="none" w:sz="0" w:space="0" w:color="auto"/>
                <w:left w:val="none" w:sz="0" w:space="0" w:color="auto"/>
                <w:bottom w:val="single" w:sz="8" w:space="0" w:color="000000"/>
                <w:right w:val="none" w:sz="0" w:space="0" w:color="auto"/>
              </w:divBdr>
            </w:div>
            <w:div w:id="1619797742">
              <w:marLeft w:val="0"/>
              <w:marRight w:val="0"/>
              <w:marTop w:val="120"/>
              <w:marBottom w:val="120"/>
              <w:divBdr>
                <w:top w:val="none" w:sz="0" w:space="0" w:color="auto"/>
                <w:left w:val="none" w:sz="0" w:space="0" w:color="auto"/>
                <w:bottom w:val="single" w:sz="8" w:space="0" w:color="000000"/>
                <w:right w:val="none" w:sz="0" w:space="0" w:color="auto"/>
              </w:divBdr>
            </w:div>
            <w:div w:id="1968005825">
              <w:marLeft w:val="0"/>
              <w:marRight w:val="0"/>
              <w:marTop w:val="120"/>
              <w:marBottom w:val="120"/>
              <w:divBdr>
                <w:top w:val="none" w:sz="0" w:space="0" w:color="auto"/>
                <w:left w:val="none" w:sz="0" w:space="0" w:color="auto"/>
                <w:bottom w:val="single" w:sz="8" w:space="0" w:color="000000"/>
                <w:right w:val="none" w:sz="0" w:space="0" w:color="auto"/>
              </w:divBdr>
            </w:div>
            <w:div w:id="1305353295">
              <w:marLeft w:val="0"/>
              <w:marRight w:val="0"/>
              <w:marTop w:val="120"/>
              <w:marBottom w:val="120"/>
              <w:divBdr>
                <w:top w:val="none" w:sz="0" w:space="0" w:color="auto"/>
                <w:left w:val="none" w:sz="0" w:space="0" w:color="auto"/>
                <w:bottom w:val="single" w:sz="8" w:space="0" w:color="000000"/>
                <w:right w:val="none" w:sz="0" w:space="0" w:color="auto"/>
              </w:divBdr>
            </w:div>
            <w:div w:id="1639069946">
              <w:marLeft w:val="0"/>
              <w:marRight w:val="0"/>
              <w:marTop w:val="120"/>
              <w:marBottom w:val="120"/>
              <w:divBdr>
                <w:top w:val="none" w:sz="0" w:space="0" w:color="auto"/>
                <w:left w:val="none" w:sz="0" w:space="0" w:color="auto"/>
                <w:bottom w:val="single" w:sz="8" w:space="0" w:color="000000"/>
                <w:right w:val="none" w:sz="0" w:space="0" w:color="auto"/>
              </w:divBdr>
            </w:div>
            <w:div w:id="1103571140">
              <w:marLeft w:val="0"/>
              <w:marRight w:val="0"/>
              <w:marTop w:val="120"/>
              <w:marBottom w:val="120"/>
              <w:divBdr>
                <w:top w:val="none" w:sz="0" w:space="0" w:color="auto"/>
                <w:left w:val="none" w:sz="0" w:space="0" w:color="auto"/>
                <w:bottom w:val="single" w:sz="8" w:space="0" w:color="000000"/>
                <w:right w:val="none" w:sz="0" w:space="0" w:color="auto"/>
              </w:divBdr>
            </w:div>
            <w:div w:id="260723009">
              <w:marLeft w:val="0"/>
              <w:marRight w:val="0"/>
              <w:marTop w:val="120"/>
              <w:marBottom w:val="120"/>
              <w:divBdr>
                <w:top w:val="none" w:sz="0" w:space="0" w:color="auto"/>
                <w:left w:val="none" w:sz="0" w:space="0" w:color="auto"/>
                <w:bottom w:val="single" w:sz="8" w:space="0" w:color="000000"/>
                <w:right w:val="none" w:sz="0" w:space="0" w:color="auto"/>
              </w:divBdr>
            </w:div>
            <w:div w:id="1019509053">
              <w:marLeft w:val="0"/>
              <w:marRight w:val="0"/>
              <w:marTop w:val="120"/>
              <w:marBottom w:val="120"/>
              <w:divBdr>
                <w:top w:val="none" w:sz="0" w:space="0" w:color="auto"/>
                <w:left w:val="none" w:sz="0" w:space="0" w:color="auto"/>
                <w:bottom w:val="single" w:sz="8" w:space="0" w:color="000000"/>
                <w:right w:val="none" w:sz="0" w:space="0" w:color="auto"/>
              </w:divBdr>
            </w:div>
            <w:div w:id="534805600">
              <w:marLeft w:val="0"/>
              <w:marRight w:val="0"/>
              <w:marTop w:val="120"/>
              <w:marBottom w:val="120"/>
              <w:divBdr>
                <w:top w:val="none" w:sz="0" w:space="0" w:color="auto"/>
                <w:left w:val="none" w:sz="0" w:space="0" w:color="auto"/>
                <w:bottom w:val="single" w:sz="8" w:space="0" w:color="000000"/>
                <w:right w:val="none" w:sz="0" w:space="0" w:color="auto"/>
              </w:divBdr>
            </w:div>
            <w:div w:id="1431975882">
              <w:marLeft w:val="0"/>
              <w:marRight w:val="0"/>
              <w:marTop w:val="120"/>
              <w:marBottom w:val="120"/>
              <w:divBdr>
                <w:top w:val="none" w:sz="0" w:space="0" w:color="auto"/>
                <w:left w:val="none" w:sz="0" w:space="0" w:color="auto"/>
                <w:bottom w:val="single" w:sz="8" w:space="0" w:color="000000"/>
                <w:right w:val="none" w:sz="0" w:space="0" w:color="auto"/>
              </w:divBdr>
            </w:div>
            <w:div w:id="625546031">
              <w:marLeft w:val="0"/>
              <w:marRight w:val="0"/>
              <w:marTop w:val="120"/>
              <w:marBottom w:val="120"/>
              <w:divBdr>
                <w:top w:val="none" w:sz="0" w:space="0" w:color="auto"/>
                <w:left w:val="none" w:sz="0" w:space="0" w:color="auto"/>
                <w:bottom w:val="single" w:sz="8" w:space="0" w:color="000000"/>
                <w:right w:val="none" w:sz="0" w:space="0" w:color="auto"/>
              </w:divBdr>
            </w:div>
            <w:div w:id="1896698120">
              <w:marLeft w:val="0"/>
              <w:marRight w:val="0"/>
              <w:marTop w:val="120"/>
              <w:marBottom w:val="120"/>
              <w:divBdr>
                <w:top w:val="none" w:sz="0" w:space="0" w:color="auto"/>
                <w:left w:val="none" w:sz="0" w:space="0" w:color="auto"/>
                <w:bottom w:val="single" w:sz="8" w:space="0" w:color="000000"/>
                <w:right w:val="none" w:sz="0" w:space="0" w:color="auto"/>
              </w:divBdr>
            </w:div>
            <w:div w:id="245498732">
              <w:marLeft w:val="0"/>
              <w:marRight w:val="0"/>
              <w:marTop w:val="120"/>
              <w:marBottom w:val="120"/>
              <w:divBdr>
                <w:top w:val="none" w:sz="0" w:space="0" w:color="auto"/>
                <w:left w:val="none" w:sz="0" w:space="0" w:color="auto"/>
                <w:bottom w:val="single" w:sz="8" w:space="0" w:color="000000"/>
                <w:right w:val="none" w:sz="0" w:space="0" w:color="auto"/>
              </w:divBdr>
            </w:div>
            <w:div w:id="844443185">
              <w:marLeft w:val="0"/>
              <w:marRight w:val="0"/>
              <w:marTop w:val="120"/>
              <w:marBottom w:val="120"/>
              <w:divBdr>
                <w:top w:val="none" w:sz="0" w:space="0" w:color="auto"/>
                <w:left w:val="none" w:sz="0" w:space="0" w:color="auto"/>
                <w:bottom w:val="single" w:sz="8" w:space="0" w:color="000000"/>
                <w:right w:val="none" w:sz="0" w:space="0" w:color="auto"/>
              </w:divBdr>
            </w:div>
            <w:div w:id="95445983">
              <w:marLeft w:val="0"/>
              <w:marRight w:val="0"/>
              <w:marTop w:val="120"/>
              <w:marBottom w:val="120"/>
              <w:divBdr>
                <w:top w:val="none" w:sz="0" w:space="0" w:color="auto"/>
                <w:left w:val="none" w:sz="0" w:space="0" w:color="auto"/>
                <w:bottom w:val="single" w:sz="8" w:space="0" w:color="000000"/>
                <w:right w:val="none" w:sz="0" w:space="0" w:color="auto"/>
              </w:divBdr>
            </w:div>
            <w:div w:id="763571362">
              <w:marLeft w:val="0"/>
              <w:marRight w:val="0"/>
              <w:marTop w:val="120"/>
              <w:marBottom w:val="120"/>
              <w:divBdr>
                <w:top w:val="none" w:sz="0" w:space="0" w:color="auto"/>
                <w:left w:val="none" w:sz="0" w:space="0" w:color="auto"/>
                <w:bottom w:val="single" w:sz="8" w:space="0" w:color="000000"/>
                <w:right w:val="none" w:sz="0" w:space="0" w:color="auto"/>
              </w:divBdr>
            </w:div>
            <w:div w:id="1668483766">
              <w:marLeft w:val="0"/>
              <w:marRight w:val="0"/>
              <w:marTop w:val="120"/>
              <w:marBottom w:val="120"/>
              <w:divBdr>
                <w:top w:val="none" w:sz="0" w:space="0" w:color="auto"/>
                <w:left w:val="none" w:sz="0" w:space="0" w:color="auto"/>
                <w:bottom w:val="single" w:sz="8" w:space="0" w:color="000000"/>
                <w:right w:val="none" w:sz="0" w:space="0" w:color="auto"/>
              </w:divBdr>
            </w:div>
            <w:div w:id="1347949536">
              <w:marLeft w:val="0"/>
              <w:marRight w:val="0"/>
              <w:marTop w:val="120"/>
              <w:marBottom w:val="120"/>
              <w:divBdr>
                <w:top w:val="none" w:sz="0" w:space="0" w:color="auto"/>
                <w:left w:val="none" w:sz="0" w:space="0" w:color="auto"/>
                <w:bottom w:val="single" w:sz="8" w:space="0" w:color="000000"/>
                <w:right w:val="none" w:sz="0" w:space="0" w:color="auto"/>
              </w:divBdr>
            </w:div>
            <w:div w:id="1970472647">
              <w:marLeft w:val="0"/>
              <w:marRight w:val="0"/>
              <w:marTop w:val="120"/>
              <w:marBottom w:val="120"/>
              <w:divBdr>
                <w:top w:val="none" w:sz="0" w:space="0" w:color="auto"/>
                <w:left w:val="none" w:sz="0" w:space="0" w:color="auto"/>
                <w:bottom w:val="single" w:sz="8" w:space="0" w:color="000000"/>
                <w:right w:val="none" w:sz="0" w:space="0" w:color="auto"/>
              </w:divBdr>
            </w:div>
            <w:div w:id="1714381506">
              <w:marLeft w:val="0"/>
              <w:marRight w:val="0"/>
              <w:marTop w:val="120"/>
              <w:marBottom w:val="120"/>
              <w:divBdr>
                <w:top w:val="none" w:sz="0" w:space="0" w:color="auto"/>
                <w:left w:val="none" w:sz="0" w:space="0" w:color="auto"/>
                <w:bottom w:val="single" w:sz="8" w:space="0" w:color="000000"/>
                <w:right w:val="none" w:sz="0" w:space="0" w:color="auto"/>
              </w:divBdr>
            </w:div>
            <w:div w:id="982933332">
              <w:marLeft w:val="0"/>
              <w:marRight w:val="0"/>
              <w:marTop w:val="120"/>
              <w:marBottom w:val="120"/>
              <w:divBdr>
                <w:top w:val="none" w:sz="0" w:space="0" w:color="auto"/>
                <w:left w:val="none" w:sz="0" w:space="0" w:color="auto"/>
                <w:bottom w:val="single" w:sz="8" w:space="0" w:color="000000"/>
                <w:right w:val="none" w:sz="0" w:space="0" w:color="auto"/>
              </w:divBdr>
            </w:div>
            <w:div w:id="142545646">
              <w:marLeft w:val="0"/>
              <w:marRight w:val="0"/>
              <w:marTop w:val="120"/>
              <w:marBottom w:val="120"/>
              <w:divBdr>
                <w:top w:val="none" w:sz="0" w:space="0" w:color="auto"/>
                <w:left w:val="none" w:sz="0" w:space="0" w:color="auto"/>
                <w:bottom w:val="single" w:sz="8" w:space="0" w:color="000000"/>
                <w:right w:val="none" w:sz="0" w:space="0" w:color="auto"/>
              </w:divBdr>
            </w:div>
            <w:div w:id="889146163">
              <w:marLeft w:val="0"/>
              <w:marRight w:val="0"/>
              <w:marTop w:val="120"/>
              <w:marBottom w:val="120"/>
              <w:divBdr>
                <w:top w:val="none" w:sz="0" w:space="0" w:color="auto"/>
                <w:left w:val="none" w:sz="0" w:space="0" w:color="auto"/>
                <w:bottom w:val="single" w:sz="8"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nnab-20150630_10kex32z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nab-20150630_10kex31z1.ht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24679</Words>
  <Characters>140676</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Frank Brickell</cp:lastModifiedBy>
  <cp:revision>1</cp:revision>
  <dcterms:created xsi:type="dcterms:W3CDTF">2015-10-05T22:27:00Z</dcterms:created>
  <dcterms:modified xsi:type="dcterms:W3CDTF">2015-10-05T22:27:00Z</dcterms:modified>
</cp:coreProperties>
</file>