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60"/>
      </w:tblGrid>
      <w:tr w:rsidR="005740D1" w:rsidRPr="005740D1" w:rsidTr="005740D1">
        <w:tc>
          <w:tcPr>
            <w:tcW w:w="5000" w:type="pct"/>
            <w:tcBorders>
              <w:bottom w:val="single" w:sz="24" w:space="0" w:color="000000"/>
            </w:tcBorders>
            <w:hideMark/>
          </w:tcPr>
          <w:p w:rsidR="005740D1" w:rsidRPr="005740D1" w:rsidRDefault="005740D1" w:rsidP="005740D1">
            <w:pPr>
              <w:spacing w:after="0" w:line="256" w:lineRule="auto"/>
              <w:jc w:val="center"/>
              <w:rPr>
                <w:rFonts w:ascii="Calibri" w:eastAsia="Times New Roman" w:hAnsi="Calibri" w:cs="Times New Roman"/>
                <w:sz w:val="8"/>
                <w:szCs w:val="8"/>
              </w:rPr>
            </w:pPr>
            <w:r w:rsidRPr="005740D1">
              <w:rPr>
                <w:rFonts w:ascii="Calibri" w:eastAsia="Times New Roman" w:hAnsi="Calibri" w:cs="Times New Roman"/>
                <w:sz w:val="8"/>
                <w:szCs w:val="8"/>
              </w:rPr>
              <w:t> </w:t>
            </w:r>
          </w:p>
        </w:tc>
      </w:tr>
      <w:tr w:rsidR="005740D1" w:rsidRPr="005740D1" w:rsidTr="005740D1">
        <w:tc>
          <w:tcPr>
            <w:tcW w:w="0" w:type="auto"/>
            <w:tcBorders>
              <w:bottom w:val="single" w:sz="8" w:space="0" w:color="000000"/>
            </w:tcBorders>
            <w:hideMark/>
          </w:tcPr>
          <w:p w:rsidR="005740D1" w:rsidRPr="005740D1" w:rsidRDefault="005740D1" w:rsidP="005740D1">
            <w:pPr>
              <w:spacing w:after="0" w:line="256" w:lineRule="auto"/>
              <w:jc w:val="center"/>
              <w:rPr>
                <w:rFonts w:ascii="Calibri" w:eastAsia="Times New Roman" w:hAnsi="Calibri" w:cs="Times New Roman"/>
                <w:sz w:val="8"/>
                <w:szCs w:val="8"/>
              </w:rPr>
            </w:pPr>
            <w:r w:rsidRPr="005740D1">
              <w:rPr>
                <w:rFonts w:ascii="Calibri" w:eastAsia="Times New Roman" w:hAnsi="Calibri" w:cs="Times New Roman"/>
                <w:sz w:val="8"/>
                <w:szCs w:val="8"/>
              </w:rPr>
              <w:t> </w:t>
            </w:r>
          </w:p>
        </w:tc>
      </w:tr>
    </w:tbl>
    <w:p w:rsidR="005740D1" w:rsidRPr="005740D1" w:rsidRDefault="005740D1" w:rsidP="005740D1">
      <w:pPr>
        <w:spacing w:after="0" w:line="240" w:lineRule="auto"/>
        <w:jc w:val="center"/>
        <w:rPr>
          <w:rFonts w:ascii="Times New Roman" w:eastAsia="Times New Roman" w:hAnsi="Times New Roman" w:cs="Times New Roman"/>
          <w:sz w:val="28"/>
          <w:szCs w:val="28"/>
        </w:rPr>
      </w:pPr>
      <w:r w:rsidRPr="005740D1">
        <w:rPr>
          <w:rFonts w:ascii="Times New Roman" w:eastAsia="Times New Roman" w:hAnsi="Times New Roman" w:cs="Times New Roman"/>
          <w:b/>
          <w:bCs/>
          <w:sz w:val="28"/>
          <w:szCs w:val="28"/>
        </w:rPr>
        <w:t>UNITED STATES</w:t>
      </w:r>
    </w:p>
    <w:p w:rsidR="005740D1" w:rsidRPr="005740D1" w:rsidRDefault="005740D1" w:rsidP="005740D1">
      <w:pPr>
        <w:spacing w:after="0" w:line="240" w:lineRule="auto"/>
        <w:jc w:val="center"/>
        <w:rPr>
          <w:rFonts w:ascii="Times New Roman" w:eastAsia="Times New Roman" w:hAnsi="Times New Roman" w:cs="Times New Roman"/>
          <w:sz w:val="28"/>
          <w:szCs w:val="28"/>
        </w:rPr>
      </w:pPr>
      <w:r w:rsidRPr="005740D1">
        <w:rPr>
          <w:rFonts w:ascii="Times New Roman" w:eastAsia="Times New Roman" w:hAnsi="Times New Roman" w:cs="Times New Roman"/>
          <w:b/>
          <w:bCs/>
          <w:sz w:val="28"/>
          <w:szCs w:val="28"/>
        </w:rPr>
        <w:t>SECURITIES AND EXCHANGE COMMISSION</w:t>
      </w:r>
    </w:p>
    <w:p w:rsidR="005740D1" w:rsidRPr="005740D1" w:rsidRDefault="005740D1" w:rsidP="005740D1">
      <w:pPr>
        <w:spacing w:after="100" w:line="240" w:lineRule="auto"/>
        <w:jc w:val="center"/>
        <w:rPr>
          <w:rFonts w:ascii="Times New Roman" w:eastAsia="Times New Roman" w:hAnsi="Times New Roman" w:cs="Times New Roman"/>
        </w:rPr>
      </w:pPr>
      <w:r w:rsidRPr="005740D1">
        <w:rPr>
          <w:rFonts w:ascii="Times New Roman" w:eastAsia="Times New Roman" w:hAnsi="Times New Roman" w:cs="Times New Roman"/>
          <w:b/>
          <w:bCs/>
        </w:rPr>
        <w:t>Washington, D.C.  20549</w:t>
      </w:r>
    </w:p>
    <w:p w:rsidR="005740D1" w:rsidRPr="005740D1" w:rsidRDefault="005740D1" w:rsidP="005740D1">
      <w:pPr>
        <w:spacing w:after="100" w:line="240" w:lineRule="auto"/>
        <w:jc w:val="center"/>
        <w:rPr>
          <w:rFonts w:ascii="Times New Roman" w:eastAsia="Times New Roman" w:hAnsi="Times New Roman" w:cs="Times New Roman"/>
          <w:sz w:val="32"/>
          <w:szCs w:val="32"/>
        </w:rPr>
      </w:pPr>
      <w:r w:rsidRPr="005740D1">
        <w:rPr>
          <w:rFonts w:ascii="Times New Roman" w:eastAsia="Times New Roman" w:hAnsi="Times New Roman" w:cs="Times New Roman"/>
          <w:b/>
          <w:bCs/>
          <w:sz w:val="32"/>
          <w:szCs w:val="32"/>
        </w:rPr>
        <w:t>Form 10-Q</w:t>
      </w:r>
    </w:p>
    <w:p w:rsidR="005740D1" w:rsidRPr="005740D1" w:rsidRDefault="005740D1" w:rsidP="005740D1">
      <w:pPr>
        <w:spacing w:after="10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(Mark One) </w:t>
      </w:r>
    </w:p>
    <w:tbl>
      <w:tblPr>
        <w:tblW w:w="5000" w:type="pct"/>
        <w:tblCellMar>
          <w:left w:w="0" w:type="dxa"/>
          <w:right w:w="0" w:type="dxa"/>
        </w:tblCellMar>
        <w:tblLook w:val="04A0" w:firstRow="1" w:lastRow="0" w:firstColumn="1" w:lastColumn="0" w:noHBand="0" w:noVBand="1"/>
      </w:tblPr>
      <w:tblGrid>
        <w:gridCol w:w="300"/>
        <w:gridCol w:w="105"/>
        <w:gridCol w:w="8955"/>
      </w:tblGrid>
      <w:tr w:rsidR="005740D1" w:rsidRPr="005740D1" w:rsidTr="005740D1">
        <w:tc>
          <w:tcPr>
            <w:tcW w:w="300" w:type="dxa"/>
            <w:hideMark/>
          </w:tcPr>
          <w:p w:rsidR="005740D1" w:rsidRPr="005740D1" w:rsidRDefault="005740D1" w:rsidP="005740D1">
            <w:pPr>
              <w:spacing w:after="0" w:line="240" w:lineRule="auto"/>
              <w:jc w:val="right"/>
              <w:rPr>
                <w:rFonts w:ascii="Times New Roman" w:eastAsia="Times New Roman" w:hAnsi="Times New Roman" w:cs="Times New Roman"/>
              </w:rPr>
            </w:pPr>
            <w:r w:rsidRPr="005740D1">
              <w:rPr>
                <w:rFonts w:ascii="Segoe UI Symbol" w:eastAsia="Times New Roman" w:hAnsi="Segoe UI Symbol" w:cs="Segoe UI Symbol"/>
              </w:rPr>
              <w:t>☒</w:t>
            </w:r>
          </w:p>
        </w:tc>
        <w:tc>
          <w:tcPr>
            <w:tcW w:w="105" w:type="dxa"/>
            <w:hideMark/>
          </w:tcPr>
          <w:p w:rsidR="005740D1" w:rsidRPr="005740D1" w:rsidRDefault="005740D1" w:rsidP="005740D1">
            <w:pPr>
              <w:spacing w:after="0" w:line="240" w:lineRule="auto"/>
              <w:rPr>
                <w:rFonts w:ascii="Times New Roman" w:eastAsia="Times New Roman" w:hAnsi="Times New Roman" w:cs="Times New Roman"/>
                <w:sz w:val="24"/>
                <w:szCs w:val="24"/>
              </w:rPr>
            </w:pPr>
            <w:r w:rsidRPr="005740D1">
              <w:rPr>
                <w:rFonts w:ascii="Times New Roman" w:eastAsia="Times New Roman" w:hAnsi="Times New Roman" w:cs="Times New Roman"/>
                <w:sz w:val="24"/>
                <w:szCs w:val="24"/>
              </w:rPr>
              <w:t> </w:t>
            </w:r>
          </w:p>
        </w:tc>
        <w:tc>
          <w:tcPr>
            <w:tcW w:w="0" w:type="auto"/>
            <w:hideMark/>
          </w:tcPr>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QUARTERLY REPORT PURSUANT TO SECTION 13 OR 15(d) OF THE SECURITIES EXCHANGE ACT OF 1934</w:t>
            </w:r>
          </w:p>
        </w:tc>
      </w:tr>
    </w:tbl>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For the quarterly period ended: December 31, 2016</w:t>
      </w:r>
    </w:p>
    <w:p w:rsidR="005740D1" w:rsidRPr="005740D1" w:rsidRDefault="005740D1" w:rsidP="005740D1">
      <w:pPr>
        <w:spacing w:after="0" w:line="240" w:lineRule="auto"/>
        <w:ind w:firstLine="720"/>
        <w:jc w:val="center"/>
        <w:rPr>
          <w:rFonts w:ascii="Times New Roman" w:eastAsia="Times New Roman" w:hAnsi="Times New Roman" w:cs="Times New Roman"/>
          <w:sz w:val="14"/>
          <w:szCs w:val="14"/>
        </w:rPr>
      </w:pPr>
      <w:r w:rsidRPr="005740D1">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5740D1" w:rsidRPr="005740D1" w:rsidTr="005740D1">
        <w:tc>
          <w:tcPr>
            <w:tcW w:w="300" w:type="dxa"/>
            <w:tcMar>
              <w:top w:w="0" w:type="dxa"/>
              <w:left w:w="0" w:type="dxa"/>
              <w:bottom w:w="120" w:type="dxa"/>
              <w:right w:w="0" w:type="dxa"/>
            </w:tcMar>
            <w:hideMark/>
          </w:tcPr>
          <w:p w:rsidR="005740D1" w:rsidRPr="005740D1" w:rsidRDefault="005740D1" w:rsidP="005740D1">
            <w:pPr>
              <w:spacing w:after="0" w:line="240" w:lineRule="auto"/>
              <w:jc w:val="right"/>
              <w:rPr>
                <w:rFonts w:ascii="Times New Roman" w:eastAsia="Times New Roman" w:hAnsi="Times New Roman" w:cs="Times New Roman"/>
              </w:rPr>
            </w:pPr>
            <w:r w:rsidRPr="005740D1">
              <w:rPr>
                <w:rFonts w:ascii="Segoe UI Symbol" w:eastAsia="Times New Roman" w:hAnsi="Segoe UI Symbol" w:cs="Segoe UI Symbol"/>
              </w:rPr>
              <w:t>☐</w:t>
            </w:r>
          </w:p>
        </w:tc>
        <w:tc>
          <w:tcPr>
            <w:tcW w:w="105" w:type="dxa"/>
            <w:hideMark/>
          </w:tcPr>
          <w:p w:rsidR="005740D1" w:rsidRPr="005740D1" w:rsidRDefault="005740D1" w:rsidP="005740D1">
            <w:pPr>
              <w:spacing w:after="0" w:line="240" w:lineRule="auto"/>
              <w:rPr>
                <w:rFonts w:ascii="Times New Roman" w:eastAsia="Times New Roman" w:hAnsi="Times New Roman" w:cs="Times New Roman"/>
                <w:sz w:val="24"/>
                <w:szCs w:val="24"/>
              </w:rPr>
            </w:pPr>
            <w:r w:rsidRPr="005740D1">
              <w:rPr>
                <w:rFonts w:ascii="Times New Roman" w:eastAsia="Times New Roman" w:hAnsi="Times New Roman" w:cs="Times New Roman"/>
                <w:sz w:val="24"/>
                <w:szCs w:val="24"/>
              </w:rPr>
              <w:t> </w:t>
            </w:r>
          </w:p>
        </w:tc>
        <w:tc>
          <w:tcPr>
            <w:tcW w:w="0" w:type="auto"/>
            <w:hideMark/>
          </w:tcPr>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TRANSITION REPORT PURSUANT TO SECTION 13 OR 15(d) OF THE SECURITIES EXCHANGE ACT OF 1934</w:t>
            </w:r>
          </w:p>
        </w:tc>
      </w:tr>
    </w:tbl>
    <w:p w:rsidR="005740D1" w:rsidRPr="005740D1" w:rsidRDefault="005740D1" w:rsidP="005740D1">
      <w:pPr>
        <w:spacing w:after="100" w:line="240" w:lineRule="auto"/>
        <w:jc w:val="center"/>
        <w:rPr>
          <w:rFonts w:ascii="Times New Roman" w:eastAsia="Times New Roman" w:hAnsi="Times New Roman" w:cs="Times New Roman"/>
          <w:sz w:val="36"/>
          <w:szCs w:val="36"/>
        </w:rPr>
      </w:pPr>
      <w:r w:rsidRPr="005740D1">
        <w:rPr>
          <w:rFonts w:ascii="Times New Roman" w:eastAsia="Times New Roman" w:hAnsi="Times New Roman" w:cs="Times New Roman"/>
          <w:sz w:val="20"/>
          <w:szCs w:val="20"/>
        </w:rPr>
        <w:t>For the transition period from ____________to _____________</w:t>
      </w:r>
    </w:p>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xml:space="preserve">Commission File Number: </w:t>
      </w:r>
      <w:r w:rsidRPr="005740D1">
        <w:rPr>
          <w:rFonts w:ascii="Times New Roman" w:eastAsia="Times New Roman" w:hAnsi="Times New Roman" w:cs="Times New Roman"/>
          <w:b/>
          <w:bCs/>
          <w:sz w:val="20"/>
          <w:szCs w:val="20"/>
          <w:u w:val="single"/>
        </w:rPr>
        <w:t>333-190635</w:t>
      </w:r>
    </w:p>
    <w:p w:rsidR="005740D1" w:rsidRPr="005740D1" w:rsidRDefault="005740D1" w:rsidP="005740D1">
      <w:pPr>
        <w:spacing w:after="0" w:line="240" w:lineRule="auto"/>
        <w:jc w:val="center"/>
        <w:rPr>
          <w:rFonts w:ascii="Times New Roman" w:eastAsia="Times New Roman" w:hAnsi="Times New Roman" w:cs="Times New Roman"/>
          <w:sz w:val="36"/>
          <w:szCs w:val="36"/>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center"/>
        <w:rPr>
          <w:rFonts w:ascii="Times New Roman" w:eastAsia="Times New Roman" w:hAnsi="Times New Roman" w:cs="Times New Roman"/>
          <w:sz w:val="36"/>
          <w:szCs w:val="36"/>
        </w:rPr>
      </w:pPr>
      <w:r w:rsidRPr="005740D1">
        <w:rPr>
          <w:rFonts w:ascii="Times New Roman" w:eastAsia="Times New Roman" w:hAnsi="Times New Roman" w:cs="Times New Roman"/>
          <w:b/>
          <w:bCs/>
          <w:sz w:val="36"/>
          <w:szCs w:val="36"/>
          <w:u w:val="single"/>
        </w:rPr>
        <w:t>BIOVIE INC. (F/K/A NANOANTIBIOTICS, INC)</w:t>
      </w:r>
    </w:p>
    <w:p w:rsidR="005740D1" w:rsidRPr="005740D1" w:rsidRDefault="005740D1" w:rsidP="005740D1">
      <w:pPr>
        <w:spacing w:after="10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(Exact name of registrant as specified in its charter</w:t>
      </w:r>
      <w:r w:rsidRPr="005740D1">
        <w:rPr>
          <w:rFonts w:ascii="Times New Roman" w:eastAsia="Times New Roman" w:hAnsi="Times New Roman" w:cs="Times New Roman"/>
          <w:b/>
          <w:bCs/>
          <w:i/>
          <w:iCs/>
          <w:sz w:val="20"/>
          <w:szCs w:val="20"/>
        </w:rPr>
        <w:t>)</w:t>
      </w:r>
    </w:p>
    <w:tbl>
      <w:tblPr>
        <w:tblW w:w="9360" w:type="dxa"/>
        <w:jc w:val="center"/>
        <w:tblCellMar>
          <w:left w:w="0" w:type="dxa"/>
          <w:right w:w="0" w:type="dxa"/>
        </w:tblCellMar>
        <w:tblLook w:val="04A0" w:firstRow="1" w:lastRow="0" w:firstColumn="1" w:lastColumn="0" w:noHBand="0" w:noVBand="1"/>
      </w:tblPr>
      <w:tblGrid>
        <w:gridCol w:w="4212"/>
        <w:gridCol w:w="936"/>
        <w:gridCol w:w="4212"/>
      </w:tblGrid>
      <w:tr w:rsidR="005740D1" w:rsidRPr="005740D1" w:rsidTr="005740D1">
        <w:trPr>
          <w:jc w:val="center"/>
        </w:trPr>
        <w:tc>
          <w:tcPr>
            <w:tcW w:w="2250" w:type="pct"/>
            <w:tcBorders>
              <w:bottom w:val="single" w:sz="8" w:space="0" w:color="000000"/>
            </w:tcBorders>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Nevada</w:t>
            </w:r>
          </w:p>
        </w:tc>
        <w:tc>
          <w:tcPr>
            <w:tcW w:w="500" w:type="pct"/>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2250" w:type="pct"/>
            <w:tcBorders>
              <w:bottom w:val="single" w:sz="8" w:space="0" w:color="000000"/>
            </w:tcBorders>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46-2510769</w:t>
            </w:r>
          </w:p>
        </w:tc>
      </w:tr>
      <w:tr w:rsidR="005740D1" w:rsidRPr="005740D1" w:rsidTr="005740D1">
        <w:trPr>
          <w:jc w:val="center"/>
        </w:trPr>
        <w:tc>
          <w:tcPr>
            <w:tcW w:w="0" w:type="auto"/>
            <w:hideMark/>
          </w:tcPr>
          <w:p w:rsidR="005740D1" w:rsidRPr="005740D1" w:rsidRDefault="005740D1" w:rsidP="005740D1">
            <w:pPr>
              <w:spacing w:after="0" w:line="256" w:lineRule="auto"/>
              <w:jc w:val="center"/>
              <w:rPr>
                <w:rFonts w:ascii="Times New Roman" w:eastAsia="Times New Roman" w:hAnsi="Times New Roman" w:cs="Times New Roman"/>
                <w:sz w:val="18"/>
                <w:szCs w:val="18"/>
              </w:rPr>
            </w:pPr>
            <w:r w:rsidRPr="005740D1">
              <w:rPr>
                <w:rFonts w:ascii="Times" w:eastAsia="Times New Roman" w:hAnsi="Times" w:cs="Times"/>
                <w:i/>
                <w:iCs/>
                <w:sz w:val="18"/>
                <w:szCs w:val="18"/>
              </w:rPr>
              <w:t>(State or other jurisdiction of</w:t>
            </w:r>
            <w:r w:rsidRPr="005740D1">
              <w:rPr>
                <w:rFonts w:ascii="Times New Roman" w:eastAsia="Times New Roman" w:hAnsi="Times New Roman" w:cs="Times New Roman"/>
                <w:i/>
                <w:iCs/>
                <w:sz w:val="18"/>
                <w:szCs w:val="18"/>
              </w:rPr>
              <w:t xml:space="preserve"> incorporation or organization)</w:t>
            </w:r>
          </w:p>
        </w:tc>
        <w:tc>
          <w:tcPr>
            <w:tcW w:w="0" w:type="auto"/>
            <w:hideMark/>
          </w:tcPr>
          <w:p w:rsidR="005740D1" w:rsidRPr="005740D1" w:rsidRDefault="005740D1" w:rsidP="005740D1">
            <w:pPr>
              <w:spacing w:after="0" w:line="256" w:lineRule="auto"/>
              <w:jc w:val="center"/>
              <w:rPr>
                <w:rFonts w:ascii="Times New Roman" w:eastAsia="Times New Roman" w:hAnsi="Times New Roman" w:cs="Times New Roman"/>
                <w:sz w:val="18"/>
                <w:szCs w:val="18"/>
              </w:rPr>
            </w:pPr>
            <w:r w:rsidRPr="005740D1">
              <w:rPr>
                <w:rFonts w:ascii="Times New Roman" w:eastAsia="Times New Roman" w:hAnsi="Times New Roman" w:cs="Times New Roman"/>
                <w:sz w:val="18"/>
                <w:szCs w:val="18"/>
              </w:rPr>
              <w:t> </w:t>
            </w:r>
          </w:p>
        </w:tc>
        <w:tc>
          <w:tcPr>
            <w:tcW w:w="0" w:type="auto"/>
            <w:hideMark/>
          </w:tcPr>
          <w:p w:rsidR="005740D1" w:rsidRPr="005740D1" w:rsidRDefault="005740D1" w:rsidP="005740D1">
            <w:pPr>
              <w:spacing w:after="0" w:line="256" w:lineRule="auto"/>
              <w:jc w:val="center"/>
              <w:rPr>
                <w:rFonts w:ascii="Times New Roman" w:eastAsia="Times New Roman" w:hAnsi="Times New Roman" w:cs="Times New Roman"/>
                <w:sz w:val="18"/>
                <w:szCs w:val="18"/>
              </w:rPr>
            </w:pPr>
            <w:r w:rsidRPr="005740D1">
              <w:rPr>
                <w:rFonts w:ascii="Times New Roman" w:eastAsia="Times New Roman" w:hAnsi="Times New Roman" w:cs="Times New Roman"/>
                <w:i/>
                <w:iCs/>
                <w:sz w:val="18"/>
                <w:szCs w:val="18"/>
              </w:rPr>
              <w:t>(I.R.S. Employer Identification No.)</w:t>
            </w:r>
          </w:p>
        </w:tc>
      </w:tr>
    </w:tbl>
    <w:p w:rsidR="005740D1" w:rsidRPr="005740D1" w:rsidRDefault="005740D1" w:rsidP="005740D1">
      <w:pPr>
        <w:spacing w:after="0" w:line="240" w:lineRule="auto"/>
        <w:ind w:firstLine="720"/>
        <w:jc w:val="both"/>
        <w:rPr>
          <w:rFonts w:ascii="Times New Roman" w:eastAsia="Times New Roman" w:hAnsi="Times New Roman" w:cs="Times New Roman"/>
        </w:rPr>
      </w:pPr>
      <w:r w:rsidRPr="005740D1">
        <w:rPr>
          <w:rFonts w:ascii="Times New Roman" w:eastAsia="Times New Roman" w:hAnsi="Times New Roman" w:cs="Times New Roman"/>
        </w:rPr>
        <w:t> </w:t>
      </w:r>
    </w:p>
    <w:tbl>
      <w:tblPr>
        <w:tblW w:w="4320" w:type="dxa"/>
        <w:jc w:val="center"/>
        <w:tblCellMar>
          <w:left w:w="0" w:type="dxa"/>
          <w:right w:w="0" w:type="dxa"/>
        </w:tblCellMar>
        <w:tblLook w:val="04A0" w:firstRow="1" w:lastRow="0" w:firstColumn="1" w:lastColumn="0" w:noHBand="0" w:noVBand="1"/>
      </w:tblPr>
      <w:tblGrid>
        <w:gridCol w:w="4320"/>
      </w:tblGrid>
      <w:tr w:rsidR="005740D1" w:rsidRPr="005740D1" w:rsidTr="005740D1">
        <w:trPr>
          <w:jc w:val="center"/>
        </w:trPr>
        <w:tc>
          <w:tcPr>
            <w:tcW w:w="5000" w:type="pct"/>
            <w:vAlign w:val="center"/>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100 Cummings Center, Suite 247-C</w:t>
            </w:r>
          </w:p>
        </w:tc>
      </w:tr>
      <w:tr w:rsidR="005740D1" w:rsidRPr="005740D1" w:rsidTr="005740D1">
        <w:trPr>
          <w:jc w:val="center"/>
        </w:trPr>
        <w:tc>
          <w:tcPr>
            <w:tcW w:w="0" w:type="auto"/>
            <w:tcBorders>
              <w:bottom w:val="single" w:sz="8" w:space="0" w:color="000000"/>
            </w:tcBorders>
            <w:vAlign w:val="center"/>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Beverly, MA 01915</w:t>
            </w:r>
          </w:p>
        </w:tc>
      </w:tr>
      <w:tr w:rsidR="005740D1" w:rsidRPr="005740D1" w:rsidTr="005740D1">
        <w:trPr>
          <w:jc w:val="center"/>
        </w:trPr>
        <w:tc>
          <w:tcPr>
            <w:tcW w:w="0" w:type="auto"/>
            <w:vAlign w:val="center"/>
            <w:hideMark/>
          </w:tcPr>
          <w:p w:rsidR="005740D1" w:rsidRPr="005740D1" w:rsidRDefault="005740D1" w:rsidP="005740D1">
            <w:pPr>
              <w:spacing w:after="0" w:line="256" w:lineRule="auto"/>
              <w:jc w:val="center"/>
              <w:rPr>
                <w:rFonts w:ascii="Times New Roman" w:eastAsia="Times New Roman" w:hAnsi="Times New Roman" w:cs="Times New Roman"/>
                <w:sz w:val="18"/>
                <w:szCs w:val="18"/>
              </w:rPr>
            </w:pPr>
            <w:r w:rsidRPr="005740D1">
              <w:rPr>
                <w:rFonts w:ascii="Times New Roman" w:eastAsia="Times New Roman" w:hAnsi="Times New Roman" w:cs="Times New Roman"/>
                <w:i/>
                <w:iCs/>
                <w:sz w:val="18"/>
                <w:szCs w:val="18"/>
              </w:rPr>
              <w:t>(Address of principal executive offices, Zip Code)</w:t>
            </w:r>
          </w:p>
        </w:tc>
      </w:tr>
      <w:tr w:rsidR="005740D1" w:rsidRPr="005740D1" w:rsidTr="005740D1">
        <w:trPr>
          <w:jc w:val="center"/>
        </w:trPr>
        <w:tc>
          <w:tcPr>
            <w:tcW w:w="0" w:type="auto"/>
            <w:vAlign w:val="center"/>
            <w:hideMark/>
          </w:tcPr>
          <w:p w:rsidR="005740D1" w:rsidRPr="005740D1" w:rsidRDefault="005740D1" w:rsidP="005740D1">
            <w:pPr>
              <w:spacing w:after="0" w:line="240" w:lineRule="auto"/>
              <w:jc w:val="center"/>
              <w:rPr>
                <w:rFonts w:ascii="Times New Roman" w:eastAsia="Times New Roman" w:hAnsi="Times New Roman" w:cs="Times New Roman"/>
              </w:rPr>
            </w:pPr>
            <w:r w:rsidRPr="005740D1">
              <w:rPr>
                <w:rFonts w:ascii="Times New Roman" w:eastAsia="Times New Roman" w:hAnsi="Times New Roman" w:cs="Times New Roman"/>
              </w:rPr>
              <w:t> </w:t>
            </w:r>
          </w:p>
        </w:tc>
      </w:tr>
      <w:tr w:rsidR="005740D1" w:rsidRPr="005740D1" w:rsidTr="005740D1">
        <w:trPr>
          <w:jc w:val="center"/>
        </w:trPr>
        <w:tc>
          <w:tcPr>
            <w:tcW w:w="0" w:type="auto"/>
            <w:tcBorders>
              <w:bottom w:val="single" w:sz="8" w:space="0" w:color="000000"/>
            </w:tcBorders>
            <w:vAlign w:val="center"/>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(312)-283-5793</w:t>
            </w:r>
          </w:p>
        </w:tc>
      </w:tr>
      <w:tr w:rsidR="005740D1" w:rsidRPr="005740D1" w:rsidTr="005740D1">
        <w:trPr>
          <w:jc w:val="center"/>
        </w:trPr>
        <w:tc>
          <w:tcPr>
            <w:tcW w:w="0" w:type="auto"/>
            <w:vAlign w:val="center"/>
            <w:hideMark/>
          </w:tcPr>
          <w:p w:rsidR="005740D1" w:rsidRPr="005740D1" w:rsidRDefault="005740D1" w:rsidP="005740D1">
            <w:pPr>
              <w:spacing w:after="0" w:line="256" w:lineRule="auto"/>
              <w:jc w:val="center"/>
              <w:rPr>
                <w:rFonts w:ascii="Times New Roman" w:eastAsia="Times New Roman" w:hAnsi="Times New Roman" w:cs="Times New Roman"/>
                <w:sz w:val="18"/>
                <w:szCs w:val="18"/>
              </w:rPr>
            </w:pPr>
            <w:r w:rsidRPr="005740D1">
              <w:rPr>
                <w:rFonts w:ascii="Times New Roman" w:eastAsia="Times New Roman" w:hAnsi="Times New Roman" w:cs="Times New Roman"/>
                <w:i/>
                <w:iCs/>
                <w:sz w:val="18"/>
                <w:szCs w:val="18"/>
              </w:rPr>
              <w:t>(Registrant's telephone number, including area code)</w:t>
            </w:r>
          </w:p>
        </w:tc>
      </w:tr>
      <w:tr w:rsidR="005740D1" w:rsidRPr="005740D1" w:rsidTr="005740D1">
        <w:trPr>
          <w:jc w:val="center"/>
        </w:trPr>
        <w:tc>
          <w:tcPr>
            <w:tcW w:w="0" w:type="auto"/>
            <w:vAlign w:val="center"/>
            <w:hideMark/>
          </w:tcPr>
          <w:p w:rsidR="005740D1" w:rsidRPr="005740D1" w:rsidRDefault="005740D1" w:rsidP="005740D1">
            <w:pPr>
              <w:spacing w:after="0" w:line="240" w:lineRule="auto"/>
              <w:jc w:val="center"/>
              <w:rPr>
                <w:rFonts w:ascii="Times New Roman" w:eastAsia="Times New Roman" w:hAnsi="Times New Roman" w:cs="Times New Roman"/>
              </w:rPr>
            </w:pPr>
            <w:r w:rsidRPr="005740D1">
              <w:rPr>
                <w:rFonts w:ascii="Times New Roman" w:eastAsia="Times New Roman" w:hAnsi="Times New Roman" w:cs="Times New Roman"/>
              </w:rPr>
              <w:t> </w:t>
            </w:r>
          </w:p>
        </w:tc>
      </w:tr>
      <w:tr w:rsidR="005740D1" w:rsidRPr="005740D1" w:rsidTr="005740D1">
        <w:trPr>
          <w:jc w:val="center"/>
        </w:trPr>
        <w:tc>
          <w:tcPr>
            <w:tcW w:w="0" w:type="auto"/>
            <w:vAlign w:val="center"/>
            <w:hideMark/>
          </w:tcPr>
          <w:p w:rsidR="005740D1" w:rsidRPr="005740D1" w:rsidRDefault="005740D1" w:rsidP="005740D1">
            <w:pPr>
              <w:spacing w:after="0" w:line="240" w:lineRule="auto"/>
              <w:rPr>
                <w:rFonts w:ascii="Times New Roman" w:eastAsia="Times New Roman" w:hAnsi="Times New Roman" w:cs="Times New Roman"/>
              </w:rPr>
            </w:pPr>
          </w:p>
        </w:tc>
      </w:tr>
      <w:tr w:rsidR="005740D1" w:rsidRPr="005740D1" w:rsidTr="005740D1">
        <w:trPr>
          <w:jc w:val="center"/>
        </w:trPr>
        <w:tc>
          <w:tcPr>
            <w:tcW w:w="0" w:type="auto"/>
            <w:tcBorders>
              <w:bottom w:val="single" w:sz="8" w:space="0" w:color="000000"/>
            </w:tcBorders>
            <w:vAlign w:val="center"/>
            <w:hideMark/>
          </w:tcPr>
          <w:p w:rsidR="005740D1" w:rsidRPr="005740D1" w:rsidRDefault="005740D1" w:rsidP="005740D1">
            <w:pPr>
              <w:spacing w:after="0" w:line="240" w:lineRule="auto"/>
              <w:jc w:val="center"/>
              <w:rPr>
                <w:rFonts w:ascii="Times New Roman" w:eastAsia="Times New Roman" w:hAnsi="Times New Roman" w:cs="Times New Roman"/>
              </w:rPr>
            </w:pPr>
            <w:r w:rsidRPr="005740D1">
              <w:rPr>
                <w:rFonts w:ascii="Times New Roman" w:eastAsia="Times New Roman" w:hAnsi="Times New Roman" w:cs="Times New Roman"/>
                <w:b/>
                <w:bCs/>
                <w:sz w:val="20"/>
                <w:szCs w:val="20"/>
              </w:rPr>
              <w:t>NANOANTIBIOTICS, INC.</w:t>
            </w:r>
          </w:p>
        </w:tc>
      </w:tr>
      <w:tr w:rsidR="005740D1" w:rsidRPr="005740D1" w:rsidTr="005740D1">
        <w:trPr>
          <w:jc w:val="center"/>
        </w:trPr>
        <w:tc>
          <w:tcPr>
            <w:tcW w:w="0" w:type="auto"/>
            <w:vAlign w:val="center"/>
            <w:hideMark/>
          </w:tcPr>
          <w:p w:rsidR="005740D1" w:rsidRPr="005740D1" w:rsidRDefault="005740D1" w:rsidP="005740D1">
            <w:pPr>
              <w:spacing w:after="0" w:line="240" w:lineRule="auto"/>
              <w:jc w:val="center"/>
              <w:rPr>
                <w:rFonts w:ascii="Times New Roman" w:eastAsia="Times New Roman" w:hAnsi="Times New Roman" w:cs="Times New Roman"/>
              </w:rPr>
            </w:pPr>
            <w:r w:rsidRPr="005740D1">
              <w:rPr>
                <w:rFonts w:ascii="Times New Roman" w:eastAsia="Times New Roman" w:hAnsi="Times New Roman" w:cs="Times New Roman"/>
                <w:i/>
                <w:iCs/>
                <w:sz w:val="18"/>
                <w:szCs w:val="18"/>
              </w:rPr>
              <w:t>(Former Name, Former Address and Former Fiscal Year if Changed Since Last Report)</w:t>
            </w:r>
          </w:p>
        </w:tc>
      </w:tr>
    </w:tbl>
    <w:p w:rsidR="005740D1" w:rsidRPr="005740D1" w:rsidRDefault="005740D1" w:rsidP="005740D1">
      <w:pPr>
        <w:spacing w:after="0" w:line="240" w:lineRule="auto"/>
        <w:ind w:firstLine="720"/>
        <w:jc w:val="both"/>
        <w:rPr>
          <w:rFonts w:ascii="Times New Roman" w:eastAsia="Times New Roman" w:hAnsi="Times New Roman" w:cs="Times New Roman"/>
          <w:sz w:val="14"/>
          <w:szCs w:val="14"/>
        </w:rPr>
      </w:pPr>
      <w:r w:rsidRPr="005740D1">
        <w:rPr>
          <w:rFonts w:ascii="Times New Roman" w:eastAsia="Times New Roman" w:hAnsi="Times New Roman" w:cs="Times New Roman"/>
          <w:sz w:val="14"/>
          <w:szCs w:val="14"/>
        </w:rPr>
        <w:t> </w:t>
      </w:r>
      <w:r w:rsidRPr="005740D1">
        <w:rPr>
          <w:rFonts w:ascii="Times New Roman" w:eastAsia="Times New Roman" w:hAnsi="Times New Roman" w:cs="Times New Roman"/>
          <w:b/>
          <w:bCs/>
          <w:sz w:val="14"/>
          <w:szCs w:val="14"/>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rsidR="005740D1" w:rsidRPr="005740D1" w:rsidRDefault="005740D1" w:rsidP="005740D1">
      <w:pPr>
        <w:spacing w:after="0" w:line="240" w:lineRule="auto"/>
        <w:ind w:firstLine="720"/>
        <w:rPr>
          <w:rFonts w:ascii="Times New Roman" w:eastAsia="Times New Roman" w:hAnsi="Times New Roman" w:cs="Times New Roman"/>
          <w:sz w:val="10"/>
          <w:szCs w:val="10"/>
        </w:rPr>
      </w:pPr>
      <w:r w:rsidRPr="005740D1">
        <w:rPr>
          <w:rFonts w:ascii="Times New Roman" w:eastAsia="Times New Roman" w:hAnsi="Times New Roman" w:cs="Times New Roman"/>
          <w:sz w:val="10"/>
          <w:szCs w:val="10"/>
        </w:rPr>
        <w:t> </w:t>
      </w:r>
    </w:p>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xml:space="preserve">Yes </w:t>
      </w:r>
      <w:r w:rsidRPr="005740D1">
        <w:rPr>
          <w:rFonts w:ascii="Segoe UI Symbol" w:eastAsia="Times New Roman" w:hAnsi="Segoe UI Symbol" w:cs="Segoe UI Symbol"/>
          <w:sz w:val="20"/>
          <w:szCs w:val="20"/>
        </w:rPr>
        <w:t>☒</w:t>
      </w:r>
      <w:r w:rsidRPr="005740D1">
        <w:rPr>
          <w:rFonts w:ascii="Times New Roman" w:eastAsia="Times New Roman" w:hAnsi="Times New Roman" w:cs="Times New Roman"/>
          <w:sz w:val="20"/>
          <w:szCs w:val="20"/>
        </w:rPr>
        <w:t xml:space="preserve">                                          No </w:t>
      </w:r>
      <w:r w:rsidRPr="005740D1">
        <w:rPr>
          <w:rFonts w:ascii="Segoe UI Symbol" w:eastAsia="Times New Roman" w:hAnsi="Segoe UI Symbol" w:cs="Segoe UI Symbol"/>
          <w:sz w:val="20"/>
          <w:szCs w:val="20"/>
        </w:rPr>
        <w:t>☐</w:t>
      </w:r>
    </w:p>
    <w:p w:rsidR="005740D1" w:rsidRPr="005740D1" w:rsidRDefault="005740D1" w:rsidP="005740D1">
      <w:pPr>
        <w:spacing w:after="0" w:line="240" w:lineRule="auto"/>
        <w:ind w:firstLine="720"/>
        <w:rPr>
          <w:rFonts w:ascii="Times New Roman" w:eastAsia="Times New Roman" w:hAnsi="Times New Roman" w:cs="Times New Roman"/>
          <w:sz w:val="10"/>
          <w:szCs w:val="10"/>
        </w:rPr>
      </w:pPr>
      <w:r w:rsidRPr="005740D1">
        <w:rPr>
          <w:rFonts w:ascii="Times New Roman" w:eastAsia="Times New Roman" w:hAnsi="Times New Roman" w:cs="Times New Roman"/>
          <w:sz w:val="10"/>
          <w:szCs w:val="1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rsidR="005740D1" w:rsidRPr="005740D1" w:rsidRDefault="005740D1" w:rsidP="005740D1">
      <w:pPr>
        <w:spacing w:after="0" w:line="240" w:lineRule="auto"/>
        <w:ind w:firstLine="720"/>
        <w:rPr>
          <w:rFonts w:ascii="Times New Roman" w:eastAsia="Times New Roman" w:hAnsi="Times New Roman" w:cs="Times New Roman"/>
          <w:sz w:val="10"/>
          <w:szCs w:val="10"/>
        </w:rPr>
      </w:pPr>
      <w:r w:rsidRPr="005740D1">
        <w:rPr>
          <w:rFonts w:ascii="Times New Roman" w:eastAsia="Times New Roman" w:hAnsi="Times New Roman" w:cs="Times New Roman"/>
          <w:sz w:val="10"/>
          <w:szCs w:val="10"/>
        </w:rPr>
        <w:t> </w:t>
      </w:r>
    </w:p>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xml:space="preserve">Yes </w:t>
      </w:r>
      <w:r w:rsidRPr="005740D1">
        <w:rPr>
          <w:rFonts w:ascii="Segoe UI Symbol" w:eastAsia="Times New Roman" w:hAnsi="Segoe UI Symbol" w:cs="Segoe UI Symbol"/>
          <w:sz w:val="20"/>
          <w:szCs w:val="20"/>
        </w:rPr>
        <w:t>☒</w:t>
      </w:r>
      <w:r w:rsidRPr="005740D1">
        <w:rPr>
          <w:rFonts w:ascii="Times New Roman" w:eastAsia="Times New Roman" w:hAnsi="Times New Roman" w:cs="Times New Roman"/>
          <w:sz w:val="20"/>
          <w:szCs w:val="20"/>
        </w:rPr>
        <w:t xml:space="preserve">                                          No </w:t>
      </w:r>
      <w:r w:rsidRPr="005740D1">
        <w:rPr>
          <w:rFonts w:ascii="Segoe UI Symbol" w:eastAsia="Times New Roman" w:hAnsi="Segoe UI Symbol" w:cs="Segoe UI Symbol"/>
          <w:sz w:val="20"/>
          <w:szCs w:val="20"/>
        </w:rPr>
        <w:t>☐</w:t>
      </w:r>
    </w:p>
    <w:p w:rsidR="005740D1" w:rsidRPr="005740D1" w:rsidRDefault="005740D1" w:rsidP="005740D1">
      <w:pPr>
        <w:spacing w:after="0" w:line="240" w:lineRule="auto"/>
        <w:ind w:firstLine="720"/>
        <w:jc w:val="both"/>
        <w:rPr>
          <w:rFonts w:ascii="Times New Roman" w:eastAsia="Times New Roman" w:hAnsi="Times New Roman" w:cs="Times New Roman"/>
          <w:sz w:val="10"/>
          <w:szCs w:val="10"/>
        </w:rPr>
      </w:pPr>
      <w:r w:rsidRPr="005740D1">
        <w:rPr>
          <w:rFonts w:ascii="Times New Roman" w:eastAsia="Times New Roman" w:hAnsi="Times New Roman" w:cs="Times New Roman"/>
          <w:sz w:val="10"/>
          <w:szCs w:val="1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w:t>
      </w:r>
    </w:p>
    <w:p w:rsidR="005740D1" w:rsidRPr="005740D1" w:rsidRDefault="005740D1" w:rsidP="005740D1">
      <w:pPr>
        <w:spacing w:after="0" w:line="240" w:lineRule="auto"/>
        <w:ind w:firstLine="720"/>
        <w:jc w:val="both"/>
        <w:rPr>
          <w:rFonts w:ascii="Times New Roman" w:eastAsia="Times New Roman" w:hAnsi="Times New Roman" w:cs="Times New Roman"/>
          <w:sz w:val="10"/>
          <w:szCs w:val="10"/>
        </w:rPr>
      </w:pPr>
      <w:r w:rsidRPr="005740D1">
        <w:rPr>
          <w:rFonts w:ascii="Times New Roman" w:eastAsia="Times New Roman" w:hAnsi="Times New Roman" w:cs="Times New Roman"/>
          <w:sz w:val="10"/>
          <w:szCs w:val="10"/>
        </w:rPr>
        <w:t>  </w:t>
      </w:r>
    </w:p>
    <w:tbl>
      <w:tblPr>
        <w:tblW w:w="9360" w:type="dxa"/>
        <w:tblCellMar>
          <w:left w:w="0" w:type="dxa"/>
          <w:right w:w="0" w:type="dxa"/>
        </w:tblCellMar>
        <w:tblLook w:val="04A0" w:firstRow="1" w:lastRow="0" w:firstColumn="1" w:lastColumn="0" w:noHBand="0" w:noVBand="1"/>
      </w:tblPr>
      <w:tblGrid>
        <w:gridCol w:w="4680"/>
        <w:gridCol w:w="468"/>
        <w:gridCol w:w="2621"/>
        <w:gridCol w:w="1591"/>
      </w:tblGrid>
      <w:tr w:rsidR="005740D1" w:rsidRPr="005740D1" w:rsidTr="005740D1">
        <w:tc>
          <w:tcPr>
            <w:tcW w:w="2500" w:type="pct"/>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Large accelerated filer</w:t>
            </w:r>
          </w:p>
        </w:tc>
        <w:tc>
          <w:tcPr>
            <w:tcW w:w="250" w:type="pct"/>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r w:rsidRPr="005740D1">
              <w:rPr>
                <w:rFonts w:ascii="Segoe UI Symbol" w:eastAsia="Times New Roman" w:hAnsi="Segoe UI Symbol" w:cs="Segoe UI Symbol"/>
                <w:sz w:val="20"/>
                <w:szCs w:val="20"/>
              </w:rPr>
              <w:t>☐</w:t>
            </w:r>
          </w:p>
        </w:tc>
        <w:tc>
          <w:tcPr>
            <w:tcW w:w="1400" w:type="pct"/>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Accelerated filer</w:t>
            </w:r>
          </w:p>
        </w:tc>
        <w:tc>
          <w:tcPr>
            <w:tcW w:w="850" w:type="pct"/>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r w:rsidRPr="005740D1">
              <w:rPr>
                <w:rFonts w:ascii="Segoe UI Symbol" w:eastAsia="Times New Roman" w:hAnsi="Segoe UI Symbol" w:cs="Segoe UI Symbol"/>
                <w:sz w:val="20"/>
                <w:szCs w:val="20"/>
              </w:rPr>
              <w:t>☐</w:t>
            </w:r>
          </w:p>
        </w:tc>
      </w:tr>
      <w:tr w:rsidR="005740D1" w:rsidRPr="005740D1" w:rsidTr="005740D1">
        <w:tc>
          <w:tcPr>
            <w:tcW w:w="0" w:type="auto"/>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Non-accelerated filer</w:t>
            </w:r>
          </w:p>
          <w:p w:rsidR="005740D1" w:rsidRPr="005740D1" w:rsidRDefault="005740D1" w:rsidP="005740D1">
            <w:pPr>
              <w:spacing w:after="0" w:line="240" w:lineRule="auto"/>
              <w:rPr>
                <w:rFonts w:ascii="Times New Roman" w:eastAsia="Times New Roman" w:hAnsi="Times New Roman" w:cs="Times New Roman"/>
                <w:sz w:val="16"/>
                <w:szCs w:val="16"/>
              </w:rPr>
            </w:pPr>
            <w:r w:rsidRPr="005740D1">
              <w:rPr>
                <w:rFonts w:ascii="Times New Roman" w:eastAsia="Times New Roman" w:hAnsi="Times New Roman" w:cs="Times New Roman"/>
                <w:sz w:val="16"/>
                <w:szCs w:val="16"/>
              </w:rPr>
              <w:t> (Do not check if a smaller reporting company)</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r w:rsidRPr="005740D1">
              <w:rPr>
                <w:rFonts w:ascii="Segoe UI Symbol" w:eastAsia="Times New Roman" w:hAnsi="Segoe UI Symbol" w:cs="Segoe UI Symbol"/>
                <w:sz w:val="20"/>
                <w:szCs w:val="20"/>
              </w:rPr>
              <w:t>☐</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Smaller reporting company</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r w:rsidRPr="005740D1">
              <w:rPr>
                <w:rFonts w:ascii="Segoe UI Symbol" w:eastAsia="Times New Roman" w:hAnsi="Segoe UI Symbol" w:cs="Segoe UI Symbol"/>
                <w:sz w:val="20"/>
                <w:szCs w:val="20"/>
              </w:rPr>
              <w:t>☒</w:t>
            </w:r>
          </w:p>
        </w:tc>
      </w:tr>
    </w:tbl>
    <w:p w:rsidR="005740D1" w:rsidRPr="005740D1" w:rsidRDefault="005740D1" w:rsidP="005740D1">
      <w:pPr>
        <w:spacing w:after="0" w:line="240" w:lineRule="auto"/>
        <w:rPr>
          <w:rFonts w:ascii="Times New Roman" w:eastAsia="Times New Roman" w:hAnsi="Times New Roman" w:cs="Times New Roman"/>
          <w:sz w:val="10"/>
          <w:szCs w:val="10"/>
        </w:rPr>
      </w:pPr>
      <w:r w:rsidRPr="005740D1">
        <w:rPr>
          <w:rFonts w:ascii="Times New Roman" w:eastAsia="Times New Roman" w:hAnsi="Times New Roman" w:cs="Times New Roman"/>
          <w:sz w:val="10"/>
          <w:szCs w:val="1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Indicate by check mark whether the registrant is a shell company (as defined in Rule 12b-2 of the Exchange Act).</w:t>
      </w:r>
    </w:p>
    <w:p w:rsidR="005740D1" w:rsidRPr="005740D1" w:rsidRDefault="005740D1" w:rsidP="005740D1">
      <w:pPr>
        <w:spacing w:after="0" w:line="240" w:lineRule="auto"/>
        <w:ind w:firstLine="720"/>
        <w:rPr>
          <w:rFonts w:ascii="Times New Roman" w:eastAsia="Times New Roman" w:hAnsi="Times New Roman" w:cs="Times New Roman"/>
          <w:sz w:val="10"/>
          <w:szCs w:val="10"/>
        </w:rPr>
      </w:pPr>
      <w:r w:rsidRPr="005740D1">
        <w:rPr>
          <w:rFonts w:ascii="Times New Roman" w:eastAsia="Times New Roman" w:hAnsi="Times New Roman" w:cs="Times New Roman"/>
          <w:sz w:val="10"/>
          <w:szCs w:val="10"/>
        </w:rPr>
        <w:lastRenderedPageBreak/>
        <w:t> </w:t>
      </w:r>
    </w:p>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xml:space="preserve">Yes </w:t>
      </w:r>
      <w:r w:rsidRPr="005740D1">
        <w:rPr>
          <w:rFonts w:ascii="MS Mincho" w:eastAsia="MS Mincho" w:hAnsi="MS Mincho" w:cs="Times New Roman" w:hint="eastAsia"/>
          <w:sz w:val="20"/>
          <w:szCs w:val="20"/>
        </w:rPr>
        <w:t>☐</w:t>
      </w:r>
      <w:r w:rsidRPr="005740D1">
        <w:rPr>
          <w:rFonts w:ascii="Times New Roman" w:eastAsia="Times New Roman" w:hAnsi="Times New Roman" w:cs="Times New Roman"/>
          <w:sz w:val="20"/>
          <w:szCs w:val="20"/>
        </w:rPr>
        <w:t xml:space="preserve">                                          No </w:t>
      </w:r>
      <w:r w:rsidRPr="005740D1">
        <w:rPr>
          <w:rFonts w:ascii="Segoe UI Symbol" w:eastAsia="Times New Roman" w:hAnsi="Segoe UI Symbol" w:cs="Segoe UI Symbol"/>
          <w:sz w:val="20"/>
          <w:szCs w:val="20"/>
        </w:rPr>
        <w:t>☒</w:t>
      </w:r>
    </w:p>
    <w:p w:rsidR="005740D1" w:rsidRPr="005740D1" w:rsidRDefault="005740D1" w:rsidP="005740D1">
      <w:pPr>
        <w:spacing w:after="0" w:line="240" w:lineRule="auto"/>
        <w:jc w:val="center"/>
        <w:rPr>
          <w:rFonts w:ascii="Times New Roman" w:eastAsia="Times New Roman" w:hAnsi="Times New Roman" w:cs="Times New Roman"/>
          <w:sz w:val="10"/>
          <w:szCs w:val="10"/>
        </w:rPr>
      </w:pPr>
      <w:r w:rsidRPr="005740D1">
        <w:rPr>
          <w:rFonts w:ascii="Times New Roman" w:eastAsia="Times New Roman" w:hAnsi="Times New Roman" w:cs="Times New Roman"/>
          <w:sz w:val="10"/>
          <w:szCs w:val="1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number of shares outstanding of each of the issuer's classes of common equity, as of December 31, 2016 was 87,685,000.</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5740D1" w:rsidRPr="005740D1" w:rsidTr="005740D1">
        <w:tc>
          <w:tcPr>
            <w:tcW w:w="5000" w:type="pct"/>
            <w:tcBorders>
              <w:bottom w:val="single" w:sz="8" w:space="0" w:color="000000"/>
            </w:tcBorders>
            <w:hideMark/>
          </w:tcPr>
          <w:p w:rsidR="005740D1" w:rsidRPr="005740D1" w:rsidRDefault="005740D1" w:rsidP="005740D1">
            <w:pPr>
              <w:spacing w:after="0" w:line="256" w:lineRule="auto"/>
              <w:jc w:val="center"/>
              <w:rPr>
                <w:rFonts w:ascii="Calibri" w:eastAsia="Times New Roman" w:hAnsi="Calibri" w:cs="Times New Roman"/>
                <w:sz w:val="8"/>
                <w:szCs w:val="8"/>
              </w:rPr>
            </w:pPr>
            <w:r w:rsidRPr="005740D1">
              <w:rPr>
                <w:rFonts w:ascii="Calibri" w:eastAsia="Times New Roman" w:hAnsi="Calibri" w:cs="Times New Roman"/>
                <w:sz w:val="8"/>
                <w:szCs w:val="8"/>
              </w:rPr>
              <w:t> </w:t>
            </w:r>
          </w:p>
        </w:tc>
      </w:tr>
      <w:tr w:rsidR="005740D1" w:rsidRPr="005740D1" w:rsidTr="005740D1">
        <w:tc>
          <w:tcPr>
            <w:tcW w:w="0" w:type="auto"/>
            <w:tcBorders>
              <w:bottom w:val="single" w:sz="24" w:space="0" w:color="000000"/>
            </w:tcBorders>
            <w:hideMark/>
          </w:tcPr>
          <w:p w:rsidR="005740D1" w:rsidRPr="005740D1" w:rsidRDefault="005740D1" w:rsidP="005740D1">
            <w:pPr>
              <w:spacing w:after="0" w:line="256" w:lineRule="auto"/>
              <w:jc w:val="center"/>
              <w:rPr>
                <w:rFonts w:ascii="Calibri" w:eastAsia="Times New Roman" w:hAnsi="Calibri" w:cs="Times New Roman"/>
                <w:sz w:val="8"/>
                <w:szCs w:val="8"/>
              </w:rPr>
            </w:pPr>
            <w:r w:rsidRPr="005740D1">
              <w:rPr>
                <w:rFonts w:ascii="Calibri" w:eastAsia="Times New Roman" w:hAnsi="Calibri" w:cs="Times New Roman"/>
                <w:sz w:val="8"/>
                <w:szCs w:val="8"/>
              </w:rPr>
              <w:t> </w:t>
            </w:r>
          </w:p>
        </w:tc>
      </w:tr>
    </w:tbl>
    <w:p w:rsidR="005740D1" w:rsidRPr="005740D1" w:rsidRDefault="005740D1" w:rsidP="005740D1">
      <w:pPr>
        <w:spacing w:after="12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5740D1" w:rsidRPr="005740D1" w:rsidTr="005740D1">
        <w:tc>
          <w:tcPr>
            <w:tcW w:w="5000" w:type="pct"/>
            <w:vAlign w:val="center"/>
            <w:hideMark/>
          </w:tcPr>
          <w:p w:rsidR="005740D1" w:rsidRPr="005740D1" w:rsidRDefault="005740D1" w:rsidP="005740D1">
            <w:pPr>
              <w:spacing w:after="0" w:line="240" w:lineRule="auto"/>
              <w:rPr>
                <w:rFonts w:ascii="Times New Roman" w:eastAsia="Times New Roman" w:hAnsi="Times New Roman" w:cs="Times New Roman"/>
                <w:sz w:val="24"/>
                <w:szCs w:val="24"/>
              </w:rPr>
            </w:pPr>
          </w:p>
        </w:tc>
      </w:tr>
      <w:tr w:rsidR="005740D1" w:rsidRPr="005740D1" w:rsidTr="005740D1">
        <w:tc>
          <w:tcPr>
            <w:tcW w:w="5000" w:type="pct"/>
            <w:vAlign w:val="center"/>
            <w:hideMark/>
          </w:tcPr>
          <w:p w:rsidR="005740D1" w:rsidRPr="005740D1" w:rsidRDefault="005740D1" w:rsidP="005740D1">
            <w:pPr>
              <w:spacing w:after="0" w:line="240" w:lineRule="auto"/>
              <w:rPr>
                <w:rFonts w:ascii="Times New Roman" w:eastAsia="Times New Roman" w:hAnsi="Times New Roman" w:cs="Times New Roman"/>
                <w:sz w:val="24"/>
                <w:szCs w:val="24"/>
              </w:rPr>
            </w:pPr>
          </w:p>
        </w:tc>
      </w:tr>
    </w:tbl>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Default="005740D1">
      <w:pPr>
        <w:rPr>
          <w:rFonts w:ascii="Times New Roman" w:eastAsia="Times New Roman" w:hAnsi="Times New Roman" w:cs="Times New Roman"/>
          <w:b/>
          <w:bCs/>
          <w:sz w:val="20"/>
          <w:szCs w:val="20"/>
        </w:rPr>
      </w:pPr>
      <w:bookmarkStart w:id="0" w:name="a_001"/>
      <w:bookmarkEnd w:id="0"/>
      <w:r>
        <w:rPr>
          <w:rFonts w:ascii="Times New Roman" w:eastAsia="Times New Roman" w:hAnsi="Times New Roman" w:cs="Times New Roman"/>
          <w:b/>
          <w:bCs/>
          <w:sz w:val="20"/>
          <w:szCs w:val="20"/>
        </w:rPr>
        <w:br w:type="page"/>
      </w:r>
    </w:p>
    <w:p w:rsidR="005740D1" w:rsidRPr="005740D1" w:rsidRDefault="005740D1" w:rsidP="005740D1">
      <w:pPr>
        <w:spacing w:after="0" w:line="240" w:lineRule="auto"/>
        <w:jc w:val="center"/>
        <w:rPr>
          <w:rFonts w:ascii="Times New Roman" w:eastAsia="Times New Roman" w:hAnsi="Times New Roman" w:cs="Times New Roman"/>
          <w:sz w:val="20"/>
          <w:szCs w:val="20"/>
        </w:rPr>
      </w:pPr>
      <w:bookmarkStart w:id="1" w:name="_GoBack"/>
      <w:bookmarkEnd w:id="1"/>
      <w:r w:rsidRPr="005740D1">
        <w:rPr>
          <w:rFonts w:ascii="Times New Roman" w:eastAsia="Times New Roman" w:hAnsi="Times New Roman" w:cs="Times New Roman"/>
          <w:b/>
          <w:bCs/>
          <w:sz w:val="20"/>
          <w:szCs w:val="20"/>
        </w:rPr>
        <w:lastRenderedPageBreak/>
        <w:t>TABLE OF CONTENTS</w:t>
      </w:r>
    </w:p>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PART I – FINANCIAL INFORMATION</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050"/>
        <w:gridCol w:w="655"/>
      </w:tblGrid>
      <w:tr w:rsidR="005740D1" w:rsidRPr="005740D1" w:rsidTr="005740D1">
        <w:tc>
          <w:tcPr>
            <w:tcW w:w="350" w:type="pct"/>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Item 1.</w:t>
            </w:r>
          </w:p>
        </w:tc>
        <w:tc>
          <w:tcPr>
            <w:tcW w:w="4300" w:type="pct"/>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02" w:history="1">
              <w:r w:rsidRPr="005740D1">
                <w:rPr>
                  <w:rFonts w:ascii="Times New Roman" w:eastAsia="Times New Roman" w:hAnsi="Times New Roman" w:cs="Times New Roman"/>
                  <w:color w:val="0000FF"/>
                  <w:sz w:val="20"/>
                  <w:szCs w:val="20"/>
                  <w:u w:val="single"/>
                </w:rPr>
                <w:t>Financial Statements (unaudited)</w:t>
              </w:r>
            </w:hyperlink>
          </w:p>
        </w:tc>
        <w:tc>
          <w:tcPr>
            <w:tcW w:w="350" w:type="pct"/>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w:t>
            </w:r>
          </w:p>
        </w:tc>
      </w:tr>
      <w:tr w:rsidR="005740D1" w:rsidRPr="005740D1" w:rsidTr="005740D1">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12" w:history="1">
              <w:r w:rsidRPr="005740D1">
                <w:rPr>
                  <w:rFonts w:ascii="Times New Roman" w:eastAsia="Times New Roman" w:hAnsi="Times New Roman" w:cs="Times New Roman"/>
                  <w:color w:val="0000FF"/>
                  <w:sz w:val="20"/>
                  <w:szCs w:val="20"/>
                  <w:u w:val="single"/>
                </w:rPr>
                <w:t>Balance Sheets as of December 31, 2016 (unaudited) and June 30, 2016 (audited)</w:t>
              </w:r>
            </w:hyperlink>
          </w:p>
        </w:tc>
        <w:tc>
          <w:tcPr>
            <w:tcW w:w="0" w:type="auto"/>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w:t>
            </w:r>
          </w:p>
        </w:tc>
      </w:tr>
      <w:tr w:rsidR="005740D1" w:rsidRPr="005740D1" w:rsidTr="005740D1">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13" w:history="1">
              <w:r w:rsidRPr="005740D1">
                <w:rPr>
                  <w:rFonts w:ascii="Times New Roman" w:eastAsia="Times New Roman" w:hAnsi="Times New Roman" w:cs="Times New Roman"/>
                  <w:color w:val="0000FF"/>
                  <w:sz w:val="20"/>
                  <w:szCs w:val="20"/>
                  <w:u w:val="single"/>
                </w:rPr>
                <w:t>Statements of Operations (unaudited) for the three and six months ended December 31, 2016 and 2015</w:t>
              </w:r>
            </w:hyperlink>
          </w:p>
        </w:tc>
        <w:tc>
          <w:tcPr>
            <w:tcW w:w="0" w:type="auto"/>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w:t>
            </w:r>
          </w:p>
        </w:tc>
      </w:tr>
      <w:tr w:rsidR="005740D1" w:rsidRPr="005740D1" w:rsidTr="005740D1">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14" w:history="1">
              <w:r w:rsidRPr="005740D1">
                <w:rPr>
                  <w:rFonts w:ascii="Times New Roman" w:eastAsia="Times New Roman" w:hAnsi="Times New Roman" w:cs="Times New Roman"/>
                  <w:color w:val="0000FF"/>
                  <w:sz w:val="20"/>
                  <w:szCs w:val="20"/>
                  <w:u w:val="single"/>
                </w:rPr>
                <w:t>Statement of Changes in Shareholders' Equity for the period to December 31, 2016</w:t>
              </w:r>
            </w:hyperlink>
          </w:p>
        </w:tc>
        <w:tc>
          <w:tcPr>
            <w:tcW w:w="0" w:type="auto"/>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w:t>
            </w:r>
          </w:p>
        </w:tc>
      </w:tr>
      <w:tr w:rsidR="005740D1" w:rsidRPr="005740D1" w:rsidTr="005740D1">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15" w:history="1">
              <w:r w:rsidRPr="005740D1">
                <w:rPr>
                  <w:rFonts w:ascii="Times New Roman" w:eastAsia="Times New Roman" w:hAnsi="Times New Roman" w:cs="Times New Roman"/>
                  <w:color w:val="0000FF"/>
                  <w:sz w:val="20"/>
                  <w:szCs w:val="20"/>
                  <w:u w:val="single"/>
                </w:rPr>
                <w:t>Statements of Cash Flows (unaudited) for the six months ended December 31, 2016 and 2015</w:t>
              </w:r>
            </w:hyperlink>
          </w:p>
        </w:tc>
        <w:tc>
          <w:tcPr>
            <w:tcW w:w="0" w:type="auto"/>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w:t>
            </w:r>
          </w:p>
        </w:tc>
      </w:tr>
      <w:tr w:rsidR="005740D1" w:rsidRPr="005740D1" w:rsidTr="005740D1">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16" w:history="1">
              <w:r w:rsidRPr="005740D1">
                <w:rPr>
                  <w:rFonts w:ascii="Times New Roman" w:eastAsia="Times New Roman" w:hAnsi="Times New Roman" w:cs="Times New Roman"/>
                  <w:color w:val="0000FF"/>
                  <w:sz w:val="20"/>
                  <w:szCs w:val="20"/>
                  <w:u w:val="single"/>
                </w:rPr>
                <w:t>Notes to Financial Statements (unaudited)</w:t>
              </w:r>
            </w:hyperlink>
          </w:p>
        </w:tc>
        <w:tc>
          <w:tcPr>
            <w:tcW w:w="0" w:type="auto"/>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6</w:t>
            </w:r>
          </w:p>
        </w:tc>
      </w:tr>
      <w:tr w:rsidR="005740D1" w:rsidRPr="005740D1" w:rsidTr="005740D1">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Item 2.</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03" w:history="1">
              <w:r w:rsidRPr="005740D1">
                <w:rPr>
                  <w:rFonts w:ascii="Times New Roman" w:eastAsia="Times New Roman" w:hAnsi="Times New Roman" w:cs="Times New Roman"/>
                  <w:color w:val="0000FF"/>
                  <w:sz w:val="20"/>
                  <w:szCs w:val="20"/>
                  <w:u w:val="single"/>
                </w:rPr>
                <w:t>Management’s Discussion and Analysis of Financial Condition of and Results of Operations</w:t>
              </w:r>
            </w:hyperlink>
          </w:p>
        </w:tc>
        <w:tc>
          <w:tcPr>
            <w:tcW w:w="0" w:type="auto"/>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16</w:t>
            </w:r>
          </w:p>
        </w:tc>
      </w:tr>
      <w:tr w:rsidR="005740D1" w:rsidRPr="005740D1" w:rsidTr="005740D1">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Item 3.</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04" w:history="1">
              <w:r w:rsidRPr="005740D1">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20</w:t>
            </w:r>
          </w:p>
        </w:tc>
      </w:tr>
      <w:tr w:rsidR="005740D1" w:rsidRPr="005740D1" w:rsidTr="005740D1">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Item 4.</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05" w:history="1">
              <w:r w:rsidRPr="005740D1">
                <w:rPr>
                  <w:rFonts w:ascii="Times New Roman" w:eastAsia="Times New Roman" w:hAnsi="Times New Roman" w:cs="Times New Roman"/>
                  <w:color w:val="0000FF"/>
                  <w:sz w:val="20"/>
                  <w:szCs w:val="20"/>
                  <w:u w:val="single"/>
                </w:rPr>
                <w:t>Controls and Procedures</w:t>
              </w:r>
            </w:hyperlink>
          </w:p>
        </w:tc>
        <w:tc>
          <w:tcPr>
            <w:tcW w:w="0" w:type="auto"/>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20</w:t>
            </w:r>
          </w:p>
        </w:tc>
      </w:tr>
    </w:tbl>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PART II – OTHER INFORMATION</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050"/>
        <w:gridCol w:w="655"/>
      </w:tblGrid>
      <w:tr w:rsidR="005740D1" w:rsidRPr="005740D1" w:rsidTr="005740D1">
        <w:tc>
          <w:tcPr>
            <w:tcW w:w="350" w:type="pct"/>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Item 1.</w:t>
            </w:r>
          </w:p>
        </w:tc>
        <w:tc>
          <w:tcPr>
            <w:tcW w:w="4300" w:type="pct"/>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06" w:history="1">
              <w:r w:rsidRPr="005740D1">
                <w:rPr>
                  <w:rFonts w:ascii="Times New Roman" w:eastAsia="Times New Roman" w:hAnsi="Times New Roman" w:cs="Times New Roman"/>
                  <w:color w:val="0000FF"/>
                  <w:sz w:val="20"/>
                  <w:szCs w:val="20"/>
                  <w:u w:val="single"/>
                </w:rPr>
                <w:t>Legal Proceedings</w:t>
              </w:r>
            </w:hyperlink>
          </w:p>
        </w:tc>
        <w:tc>
          <w:tcPr>
            <w:tcW w:w="350" w:type="pct"/>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21</w:t>
            </w:r>
          </w:p>
        </w:tc>
      </w:tr>
      <w:tr w:rsidR="005740D1" w:rsidRPr="005740D1" w:rsidTr="005740D1">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Item 2.</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07" w:history="1">
              <w:r w:rsidRPr="005740D1">
                <w:rPr>
                  <w:rFonts w:ascii="Times New Roman" w:eastAsia="Times New Roman" w:hAnsi="Times New Roman" w:cs="Times New Roman"/>
                  <w:color w:val="0000FF"/>
                  <w:sz w:val="20"/>
                  <w:szCs w:val="20"/>
                  <w:u w:val="single"/>
                </w:rPr>
                <w:t>Unregistered Sales of Equity Securities and Use of Proceeds</w:t>
              </w:r>
            </w:hyperlink>
          </w:p>
        </w:tc>
        <w:tc>
          <w:tcPr>
            <w:tcW w:w="0" w:type="auto"/>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21</w:t>
            </w:r>
          </w:p>
        </w:tc>
      </w:tr>
      <w:tr w:rsidR="005740D1" w:rsidRPr="005740D1" w:rsidTr="005740D1">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Item 3.</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08" w:history="1">
              <w:r w:rsidRPr="005740D1">
                <w:rPr>
                  <w:rFonts w:ascii="Times New Roman" w:eastAsia="Times New Roman" w:hAnsi="Times New Roman" w:cs="Times New Roman"/>
                  <w:color w:val="0000FF"/>
                  <w:sz w:val="20"/>
                  <w:szCs w:val="20"/>
                  <w:u w:val="single"/>
                </w:rPr>
                <w:t>Defaults Upon Senior Securities</w:t>
              </w:r>
            </w:hyperlink>
          </w:p>
        </w:tc>
        <w:tc>
          <w:tcPr>
            <w:tcW w:w="0" w:type="auto"/>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21</w:t>
            </w:r>
          </w:p>
        </w:tc>
      </w:tr>
      <w:tr w:rsidR="005740D1" w:rsidRPr="005740D1" w:rsidTr="005740D1">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Item 4.</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09" w:history="1">
              <w:r w:rsidRPr="005740D1">
                <w:rPr>
                  <w:rFonts w:ascii="Times New Roman" w:eastAsia="Times New Roman" w:hAnsi="Times New Roman" w:cs="Times New Roman"/>
                  <w:color w:val="0000FF"/>
                  <w:sz w:val="20"/>
                  <w:szCs w:val="20"/>
                  <w:u w:val="single"/>
                </w:rPr>
                <w:t>Mine Safety Disclosures</w:t>
              </w:r>
            </w:hyperlink>
          </w:p>
        </w:tc>
        <w:tc>
          <w:tcPr>
            <w:tcW w:w="0" w:type="auto"/>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21</w:t>
            </w:r>
          </w:p>
        </w:tc>
      </w:tr>
      <w:tr w:rsidR="005740D1" w:rsidRPr="005740D1" w:rsidTr="005740D1">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Item 5.</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10" w:history="1">
              <w:r w:rsidRPr="005740D1">
                <w:rPr>
                  <w:rFonts w:ascii="Times New Roman" w:eastAsia="Times New Roman" w:hAnsi="Times New Roman" w:cs="Times New Roman"/>
                  <w:color w:val="0000FF"/>
                  <w:sz w:val="20"/>
                  <w:szCs w:val="20"/>
                  <w:u w:val="single"/>
                </w:rPr>
                <w:t>Other Information</w:t>
              </w:r>
            </w:hyperlink>
          </w:p>
        </w:tc>
        <w:tc>
          <w:tcPr>
            <w:tcW w:w="0" w:type="auto"/>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21</w:t>
            </w:r>
          </w:p>
        </w:tc>
      </w:tr>
      <w:tr w:rsidR="005740D1" w:rsidRPr="005740D1" w:rsidTr="005740D1">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Item 6.</w:t>
            </w:r>
          </w:p>
        </w:tc>
        <w:tc>
          <w:tcPr>
            <w:tcW w:w="0" w:type="auto"/>
            <w:hideMark/>
          </w:tcPr>
          <w:p w:rsidR="005740D1" w:rsidRPr="005740D1" w:rsidRDefault="005740D1" w:rsidP="005740D1">
            <w:pPr>
              <w:spacing w:after="0" w:line="256" w:lineRule="auto"/>
              <w:rPr>
                <w:rFonts w:ascii="Times New Roman" w:eastAsia="Times New Roman" w:hAnsi="Times New Roman" w:cs="Times New Roman"/>
                <w:sz w:val="20"/>
                <w:szCs w:val="20"/>
              </w:rPr>
            </w:pPr>
            <w:hyperlink w:anchor="a_011" w:history="1">
              <w:r w:rsidRPr="005740D1">
                <w:rPr>
                  <w:rFonts w:ascii="Times New Roman" w:eastAsia="Times New Roman" w:hAnsi="Times New Roman" w:cs="Times New Roman"/>
                  <w:color w:val="0000FF"/>
                  <w:sz w:val="20"/>
                  <w:szCs w:val="20"/>
                  <w:u w:val="single"/>
                </w:rPr>
                <w:t>Exhibits</w:t>
              </w:r>
            </w:hyperlink>
          </w:p>
        </w:tc>
        <w:tc>
          <w:tcPr>
            <w:tcW w:w="0" w:type="auto"/>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21</w:t>
            </w:r>
          </w:p>
        </w:tc>
      </w:tr>
      <w:tr w:rsidR="005740D1" w:rsidRPr="005740D1" w:rsidTr="005740D1">
        <w:tc>
          <w:tcPr>
            <w:tcW w:w="0" w:type="auto"/>
            <w:vAlign w:val="center"/>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center"/>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center"/>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gridSpan w:val="2"/>
            <w:hideMark/>
          </w:tcPr>
          <w:p w:rsidR="005740D1" w:rsidRPr="005740D1" w:rsidRDefault="005740D1" w:rsidP="005740D1">
            <w:pPr>
              <w:spacing w:after="0" w:line="256"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SIGNATURES</w:t>
            </w:r>
          </w:p>
        </w:tc>
        <w:tc>
          <w:tcPr>
            <w:tcW w:w="0" w:type="auto"/>
            <w:hideMark/>
          </w:tcPr>
          <w:p w:rsidR="005740D1" w:rsidRPr="005740D1" w:rsidRDefault="005740D1" w:rsidP="005740D1">
            <w:pPr>
              <w:spacing w:after="0" w:line="256"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18</w:t>
            </w:r>
          </w:p>
        </w:tc>
      </w:tr>
    </w:tbl>
    <w:p w:rsidR="005740D1" w:rsidRPr="005740D1" w:rsidRDefault="005740D1" w:rsidP="005740D1">
      <w:pPr>
        <w:spacing w:after="0" w:line="276" w:lineRule="auto"/>
        <w:ind w:firstLine="720"/>
        <w:rPr>
          <w:rFonts w:ascii="Times New Roman" w:eastAsia="Times New Roman" w:hAnsi="Times New Roman" w:cs="Times New Roman"/>
          <w:sz w:val="16"/>
          <w:szCs w:val="16"/>
        </w:rPr>
      </w:pPr>
      <w:r w:rsidRPr="005740D1">
        <w:rPr>
          <w:rFonts w:ascii="Times New Roman" w:eastAsia="Times New Roman" w:hAnsi="Times New Roman" w:cs="Times New Roman"/>
          <w:sz w:val="16"/>
          <w:szCs w:val="16"/>
        </w:rPr>
        <w:t> </w:t>
      </w:r>
    </w:p>
    <w:tbl>
      <w:tblPr>
        <w:tblW w:w="5000" w:type="pct"/>
        <w:tblCellMar>
          <w:left w:w="0" w:type="dxa"/>
          <w:right w:w="0" w:type="dxa"/>
        </w:tblCellMar>
        <w:tblLook w:val="04A0" w:firstRow="1" w:lastRow="0" w:firstColumn="1" w:lastColumn="0" w:noHBand="0" w:noVBand="1"/>
      </w:tblPr>
      <w:tblGrid>
        <w:gridCol w:w="9360"/>
      </w:tblGrid>
      <w:tr w:rsidR="005740D1" w:rsidRPr="005740D1" w:rsidTr="005740D1">
        <w:tc>
          <w:tcPr>
            <w:tcW w:w="5000" w:type="pct"/>
            <w:vAlign w:val="center"/>
            <w:hideMark/>
          </w:tcPr>
          <w:p w:rsidR="005740D1" w:rsidRPr="005740D1" w:rsidRDefault="005740D1" w:rsidP="005740D1">
            <w:pPr>
              <w:spacing w:after="0" w:line="240" w:lineRule="auto"/>
              <w:jc w:val="center"/>
              <w:rPr>
                <w:rFonts w:ascii="Times New Roman" w:eastAsia="Times New Roman" w:hAnsi="Times New Roman" w:cs="Times New Roman"/>
                <w:sz w:val="24"/>
                <w:szCs w:val="24"/>
              </w:rPr>
            </w:pPr>
            <w:r w:rsidRPr="005740D1">
              <w:rPr>
                <w:rFonts w:ascii="Times New Roman" w:eastAsia="Times New Roman" w:hAnsi="Times New Roman" w:cs="Times New Roman"/>
                <w:sz w:val="24"/>
                <w:szCs w:val="24"/>
              </w:rPr>
              <w:t> </w:t>
            </w:r>
          </w:p>
        </w:tc>
      </w:tr>
      <w:tr w:rsidR="005740D1" w:rsidRPr="005740D1" w:rsidTr="005740D1">
        <w:tc>
          <w:tcPr>
            <w:tcW w:w="5000" w:type="pct"/>
            <w:vAlign w:val="center"/>
            <w:hideMark/>
          </w:tcPr>
          <w:p w:rsidR="005740D1" w:rsidRPr="005740D1" w:rsidRDefault="005740D1" w:rsidP="005740D1">
            <w:pPr>
              <w:spacing w:after="0" w:line="240" w:lineRule="auto"/>
              <w:jc w:val="center"/>
              <w:rPr>
                <w:rFonts w:ascii="Times New Roman" w:eastAsia="Times New Roman" w:hAnsi="Times New Roman" w:cs="Times New Roman"/>
                <w:sz w:val="24"/>
                <w:szCs w:val="24"/>
              </w:rPr>
            </w:pPr>
            <w:r w:rsidRPr="005740D1">
              <w:rPr>
                <w:rFonts w:ascii="Times New Roman" w:eastAsia="Times New Roman" w:hAnsi="Times New Roman" w:cs="Times New Roman"/>
                <w:sz w:val="24"/>
                <w:szCs w:val="24"/>
              </w:rPr>
              <w:t> </w:t>
            </w:r>
          </w:p>
        </w:tc>
      </w:tr>
    </w:tbl>
    <w:p w:rsidR="005740D1" w:rsidRPr="005740D1" w:rsidRDefault="005740D1" w:rsidP="005740D1">
      <w:pPr>
        <w:spacing w:after="0" w:line="276"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p w:rsidR="005740D1" w:rsidRDefault="005740D1">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lastRenderedPageBreak/>
        <w:t>FORWARD-LOOKING STATEMENTS</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“BioVie”, “Company”, “we”, “our”, and “us” refer to BioVie, Inc.</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right"/>
        <w:rPr>
          <w:rFonts w:ascii="Times New Roman" w:eastAsia="Times New Roman" w:hAnsi="Times New Roman" w:cs="Times New Roman"/>
          <w:sz w:val="16"/>
          <w:szCs w:val="16"/>
        </w:rPr>
      </w:pPr>
      <w:r w:rsidRPr="005740D1">
        <w:rPr>
          <w:rFonts w:ascii="Times New Roman" w:eastAsia="Times New Roman" w:hAnsi="Times New Roman" w:cs="Times New Roman"/>
          <w:sz w:val="16"/>
          <w:szCs w:val="16"/>
        </w:rPr>
        <w:t> </w:t>
      </w:r>
    </w:p>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-1-</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bookmarkStart w:id="2" w:name="a_002"/>
      <w:bookmarkEnd w:id="2"/>
      <w:r w:rsidRPr="005740D1">
        <w:rPr>
          <w:rFonts w:ascii="Times New Roman" w:eastAsia="Times New Roman" w:hAnsi="Times New Roman" w:cs="Times New Roman"/>
          <w:b/>
          <w:bCs/>
          <w:sz w:val="20"/>
          <w:szCs w:val="20"/>
        </w:rPr>
        <w:t>Part 1.  Financial Information</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Item 1.  Financial Statements</w:t>
      </w:r>
    </w:p>
    <w:p w:rsidR="005740D1" w:rsidRPr="005740D1" w:rsidRDefault="005740D1" w:rsidP="005740D1">
      <w:pPr>
        <w:spacing w:after="0" w:line="240" w:lineRule="auto"/>
        <w:ind w:firstLine="56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u w:val="single"/>
        </w:rPr>
        <w:t>BIOVIE INC. (F/K/A NANOANTIBIOTICS, INC.)</w:t>
      </w:r>
    </w:p>
    <w:p w:rsidR="005740D1" w:rsidRPr="005740D1" w:rsidRDefault="005740D1" w:rsidP="005740D1">
      <w:pPr>
        <w:spacing w:after="0" w:line="240" w:lineRule="auto"/>
        <w:jc w:val="center"/>
        <w:rPr>
          <w:rFonts w:ascii="Times New Roman" w:eastAsia="Times New Roman" w:hAnsi="Times New Roman" w:cs="Times New Roman"/>
          <w:sz w:val="20"/>
          <w:szCs w:val="20"/>
        </w:rPr>
      </w:pPr>
      <w:bookmarkStart w:id="3" w:name="a_012"/>
      <w:bookmarkEnd w:id="3"/>
      <w:r w:rsidRPr="005740D1">
        <w:rPr>
          <w:rFonts w:ascii="Times New Roman" w:eastAsia="Times New Roman" w:hAnsi="Times New Roman" w:cs="Times New Roman"/>
          <w:b/>
          <w:bCs/>
          <w:sz w:val="20"/>
          <w:szCs w:val="20"/>
          <w:u w:val="single"/>
        </w:rPr>
        <w:t>BALANCE SHEETS</w:t>
      </w:r>
    </w:p>
    <w:p w:rsidR="005740D1" w:rsidRPr="005740D1" w:rsidRDefault="005740D1" w:rsidP="005740D1">
      <w:pPr>
        <w:spacing w:after="0" w:line="240" w:lineRule="auto"/>
        <w:ind w:left="1440"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1"/>
        <w:gridCol w:w="748"/>
        <w:gridCol w:w="94"/>
        <w:gridCol w:w="1123"/>
        <w:gridCol w:w="94"/>
        <w:gridCol w:w="749"/>
        <w:gridCol w:w="94"/>
        <w:gridCol w:w="1123"/>
        <w:gridCol w:w="94"/>
      </w:tblGrid>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December 31,</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June 30,</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2016</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ASSETS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(unaudited)</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(audited)</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CURRENT ASSETS: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2800" w:type="pct"/>
            <w:tcMar>
              <w:top w:w="0" w:type="dxa"/>
              <w:left w:w="4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Cash</w:t>
            </w:r>
          </w:p>
        </w:tc>
        <w:tc>
          <w:tcPr>
            <w:tcW w:w="4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6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4,519</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4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6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123,757</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4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Prepaid expenses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6,982</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6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4,519</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130,739</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OTHER  ASSETS: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4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Intangible Assets (Net of Amortization)</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2,128,046</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2,242,734</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4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Goodwill</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6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Total Other Assets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2,473,757</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2,588,445</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2,478,276</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2,719,184</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LIABILITIES AND STOCKHOLDERS' DEFICIT</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CURRENT LIABILITIES: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4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Accounts Payable and accrued expenses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506,254</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293,633</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4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Loan payable</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10,500</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4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Related Party Loan</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10,000</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10,000</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4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624,612</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499,612</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6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1,151,366</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803,245</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STOCKHOLDERS' EQUITY (DEFICIT)</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Preferred stock; $0.001 par value; 10,000,000 shares authorized; 0 shares issued and outstanding</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Common stock, $0.0001 par value; 300,000,000 shares authorized; 87,685,000 and 87,160,001 shares issued and outstanding, respectively</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8,769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8,716</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Additional paid in capital</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3,031,619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2,911,560</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(1,713,478</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(1,004,337</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tcMar>
              <w:top w:w="0" w:type="dxa"/>
              <w:left w:w="4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Total Stockholders' Equity (Deficit)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1,326,910</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1,915,939</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TOTAL LIABILITIES AND STOCKHOLDERS' EQUITY (DEFICIT)</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2,478,276</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2,719,184</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bl>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p w:rsidR="005740D1" w:rsidRPr="005740D1" w:rsidRDefault="005740D1" w:rsidP="005740D1">
      <w:pPr>
        <w:spacing w:after="20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See accompanying notes to financial statement</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-2-</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u w:val="single"/>
        </w:rPr>
        <w:t>BIOVIE INC. (F/K/A NANOANTIBIOTICS, INC.)</w:t>
      </w:r>
    </w:p>
    <w:p w:rsidR="005740D1" w:rsidRPr="005740D1" w:rsidRDefault="005740D1" w:rsidP="005740D1">
      <w:pPr>
        <w:spacing w:after="0" w:line="240" w:lineRule="auto"/>
        <w:jc w:val="center"/>
        <w:rPr>
          <w:rFonts w:ascii="Times New Roman" w:eastAsia="Times New Roman" w:hAnsi="Times New Roman" w:cs="Times New Roman"/>
          <w:sz w:val="20"/>
          <w:szCs w:val="20"/>
        </w:rPr>
      </w:pPr>
      <w:bookmarkStart w:id="4" w:name="a_013"/>
      <w:bookmarkEnd w:id="4"/>
      <w:r w:rsidRPr="005740D1">
        <w:rPr>
          <w:rFonts w:ascii="Times New Roman" w:eastAsia="Times New Roman" w:hAnsi="Times New Roman" w:cs="Times New Roman"/>
          <w:b/>
          <w:bCs/>
          <w:sz w:val="20"/>
          <w:szCs w:val="20"/>
          <w:u w:val="single"/>
        </w:rPr>
        <w:t>STATEMENT OF OPERATIONS (UNAUDITED)</w:t>
      </w:r>
    </w:p>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3742"/>
        <w:gridCol w:w="280"/>
        <w:gridCol w:w="100"/>
        <w:gridCol w:w="935"/>
        <w:gridCol w:w="93"/>
        <w:gridCol w:w="280"/>
        <w:gridCol w:w="100"/>
        <w:gridCol w:w="935"/>
        <w:gridCol w:w="93"/>
        <w:gridCol w:w="280"/>
        <w:gridCol w:w="93"/>
        <w:gridCol w:w="935"/>
        <w:gridCol w:w="93"/>
        <w:gridCol w:w="280"/>
        <w:gridCol w:w="93"/>
        <w:gridCol w:w="935"/>
        <w:gridCol w:w="93"/>
      </w:tblGrid>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For the Three Months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For the Three Months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For the Six Months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For the Six Months</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Ended</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Ended</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Ended</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Ended</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December 31,</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December 31,</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December 31,</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December 31,</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2015</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2015</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(Unaudited)</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(Unaudited)</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(Unaudited)</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(Unaudited)</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REVENUE:</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gridSpan w:val="3"/>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gridSpan w:val="3"/>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gridSpan w:val="3"/>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gridSpan w:val="3"/>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Sales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COST OF GOODS SOLD</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GROSS MARGIN</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OPERATING EXPENSES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2000" w:type="pct"/>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Amortization</w:t>
            </w:r>
          </w:p>
        </w:tc>
        <w:tc>
          <w:tcPr>
            <w:tcW w:w="1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57,344</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1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1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114,689</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1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Research and development expenses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128,559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255,829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Payroll expenses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71,348</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40,369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142,696</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80,738</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Professional fees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93,015</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7,060</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186,179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18,017</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7,533</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2,499</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9,760</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5,800</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4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357,799</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49,928</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709,152</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104,555</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(357,799</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(49,928</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(709,152</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(104,555</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OTHER EXPENSE (INCOME)</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Interest expense</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(50</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(11</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(111</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tcMar>
              <w:top w:w="0" w:type="dxa"/>
              <w:left w:w="4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TOTAL OTHER EXPENSE (INCOME)</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(50</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(11</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(111</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(357,799</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(49,878</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(709,141</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(104,444</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(0.01</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WEIGHTED AVERAGE NUMBER OF</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COMMON  SHARES OUTSTANDING, BASIC AND DILUTED</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87,504,667</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87,355,108</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bl>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p w:rsidR="005740D1" w:rsidRPr="005740D1" w:rsidRDefault="005740D1" w:rsidP="005740D1">
      <w:pPr>
        <w:spacing w:after="20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See accompanying notes to financial statement</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-3-</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u w:val="single"/>
        </w:rPr>
        <w:t>BIOVIE INC. (/K/A NANOANTIBIOTICS, INC.)</w:t>
      </w:r>
    </w:p>
    <w:p w:rsidR="005740D1" w:rsidRPr="005740D1" w:rsidRDefault="005740D1" w:rsidP="005740D1">
      <w:pPr>
        <w:spacing w:after="200" w:line="240" w:lineRule="auto"/>
        <w:jc w:val="center"/>
        <w:rPr>
          <w:rFonts w:ascii="Times New Roman" w:eastAsia="Times New Roman" w:hAnsi="Times New Roman" w:cs="Times New Roman"/>
          <w:sz w:val="20"/>
          <w:szCs w:val="20"/>
        </w:rPr>
      </w:pPr>
      <w:bookmarkStart w:id="5" w:name="a_014"/>
      <w:bookmarkEnd w:id="5"/>
      <w:r w:rsidRPr="005740D1">
        <w:rPr>
          <w:rFonts w:ascii="Times New Roman" w:eastAsia="Times New Roman" w:hAnsi="Times New Roman" w:cs="Times New Roman"/>
          <w:b/>
          <w:bCs/>
          <w:sz w:val="20"/>
          <w:szCs w:val="20"/>
          <w:u w:val="single"/>
        </w:rPr>
        <w:t>STATEMENT OF STOCKHOLDERS’ EQUITY</w:t>
      </w:r>
    </w:p>
    <w:tbl>
      <w:tblPr>
        <w:tblW w:w="5000" w:type="pct"/>
        <w:tblCellMar>
          <w:left w:w="0" w:type="dxa"/>
          <w:right w:w="0" w:type="dxa"/>
        </w:tblCellMar>
        <w:tblLook w:val="04A0" w:firstRow="1" w:lastRow="0" w:firstColumn="1" w:lastColumn="0" w:noHBand="0" w:noVBand="1"/>
      </w:tblPr>
      <w:tblGrid>
        <w:gridCol w:w="3078"/>
        <w:gridCol w:w="56"/>
        <w:gridCol w:w="50"/>
        <w:gridCol w:w="967"/>
        <w:gridCol w:w="67"/>
        <w:gridCol w:w="56"/>
        <w:gridCol w:w="88"/>
        <w:gridCol w:w="526"/>
        <w:gridCol w:w="87"/>
        <w:gridCol w:w="56"/>
        <w:gridCol w:w="114"/>
        <w:gridCol w:w="800"/>
        <w:gridCol w:w="114"/>
        <w:gridCol w:w="56"/>
        <w:gridCol w:w="98"/>
        <w:gridCol w:w="619"/>
        <w:gridCol w:w="98"/>
        <w:gridCol w:w="56"/>
        <w:gridCol w:w="142"/>
        <w:gridCol w:w="868"/>
        <w:gridCol w:w="141"/>
        <w:gridCol w:w="56"/>
        <w:gridCol w:w="146"/>
        <w:gridCol w:w="876"/>
        <w:gridCol w:w="145"/>
      </w:tblGrid>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gridSpan w:val="3"/>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gridSpan w:val="3"/>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gridSpan w:val="3"/>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Prepaid</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gridSpan w:val="3"/>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gridSpan w:val="3"/>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gridSpan w:val="3"/>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gridSpan w:val="3"/>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Services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gridSpan w:val="3"/>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Additional</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Paid with</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Total</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7"/>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xml:space="preserve">Common Stock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Paid in</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Common</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Accumulated</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Stockholders'</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Capital</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Sock</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Deficit</w:t>
            </w:r>
          </w:p>
        </w:tc>
      </w:tr>
      <w:tr w:rsidR="005740D1" w:rsidRPr="005740D1" w:rsidTr="005740D1">
        <w:tc>
          <w:tcPr>
            <w:tcW w:w="0" w:type="auto"/>
            <w:vAlign w:val="bottom"/>
            <w:hideMark/>
          </w:tcPr>
          <w:p w:rsidR="005740D1" w:rsidRPr="005740D1" w:rsidRDefault="005740D1" w:rsidP="005740D1">
            <w:pPr>
              <w:spacing w:after="0" w:line="240" w:lineRule="auto"/>
              <w:rPr>
                <w:rFonts w:ascii="Arial" w:eastAsia="Times New Roman" w:hAnsi="Arial" w:cs="Arial"/>
                <w:sz w:val="20"/>
                <w:szCs w:val="20"/>
              </w:rPr>
            </w:pPr>
            <w:r w:rsidRPr="005740D1">
              <w:rPr>
                <w:rFonts w:ascii="Arial" w:eastAsia="Times New Roman" w:hAnsi="Arial" w:cs="Arial"/>
                <w:sz w:val="20"/>
                <w:szCs w:val="20"/>
              </w:rPr>
              <w:t> </w:t>
            </w:r>
          </w:p>
        </w:tc>
        <w:tc>
          <w:tcPr>
            <w:tcW w:w="0" w:type="auto"/>
            <w:vAlign w:val="bottom"/>
            <w:hideMark/>
          </w:tcPr>
          <w:p w:rsidR="005740D1" w:rsidRPr="005740D1" w:rsidRDefault="005740D1" w:rsidP="005740D1">
            <w:pPr>
              <w:spacing w:after="0" w:line="240" w:lineRule="auto"/>
              <w:rPr>
                <w:rFonts w:ascii="Arial" w:eastAsia="Times New Roman" w:hAnsi="Arial" w:cs="Arial"/>
                <w:sz w:val="20"/>
                <w:szCs w:val="20"/>
              </w:rPr>
            </w:pPr>
            <w:r w:rsidRPr="005740D1">
              <w:rPr>
                <w:rFonts w:ascii="Arial" w:eastAsia="Times New Roman" w:hAnsi="Arial" w:cs="Arial"/>
                <w:sz w:val="20"/>
                <w:szCs w:val="20"/>
              </w:rPr>
              <w:t> </w:t>
            </w:r>
          </w:p>
        </w:tc>
        <w:tc>
          <w:tcPr>
            <w:tcW w:w="0" w:type="auto"/>
            <w:gridSpan w:val="3"/>
            <w:vAlign w:val="bottom"/>
            <w:hideMark/>
          </w:tcPr>
          <w:p w:rsidR="005740D1" w:rsidRPr="005740D1" w:rsidRDefault="005740D1" w:rsidP="005740D1">
            <w:pPr>
              <w:spacing w:after="0" w:line="240" w:lineRule="auto"/>
              <w:rPr>
                <w:rFonts w:ascii="Arial" w:eastAsia="Times New Roman" w:hAnsi="Arial" w:cs="Arial"/>
                <w:sz w:val="20"/>
                <w:szCs w:val="20"/>
              </w:rPr>
            </w:pPr>
            <w:r w:rsidRPr="005740D1">
              <w:rPr>
                <w:rFonts w:ascii="Arial" w:eastAsia="Times New Roman" w:hAnsi="Arial" w:cs="Arial"/>
                <w:sz w:val="20"/>
                <w:szCs w:val="20"/>
              </w:rPr>
              <w:t> </w:t>
            </w:r>
          </w:p>
        </w:tc>
        <w:tc>
          <w:tcPr>
            <w:tcW w:w="0" w:type="auto"/>
            <w:vAlign w:val="bottom"/>
            <w:hideMark/>
          </w:tcPr>
          <w:p w:rsidR="005740D1" w:rsidRPr="005740D1" w:rsidRDefault="005740D1" w:rsidP="005740D1">
            <w:pPr>
              <w:spacing w:after="0" w:line="240" w:lineRule="auto"/>
              <w:rPr>
                <w:rFonts w:ascii="Arial" w:eastAsia="Times New Roman" w:hAnsi="Arial" w:cs="Arial"/>
                <w:sz w:val="20"/>
                <w:szCs w:val="20"/>
              </w:rPr>
            </w:pPr>
            <w:r w:rsidRPr="005740D1">
              <w:rPr>
                <w:rFonts w:ascii="Arial" w:eastAsia="Times New Roman" w:hAnsi="Arial" w:cs="Arial"/>
                <w:sz w:val="20"/>
                <w:szCs w:val="20"/>
              </w:rPr>
              <w:t> </w:t>
            </w:r>
          </w:p>
        </w:tc>
        <w:tc>
          <w:tcPr>
            <w:tcW w:w="0" w:type="auto"/>
            <w:gridSpan w:val="3"/>
            <w:vAlign w:val="bottom"/>
            <w:hideMark/>
          </w:tcPr>
          <w:p w:rsidR="005740D1" w:rsidRPr="005740D1" w:rsidRDefault="005740D1" w:rsidP="005740D1">
            <w:pPr>
              <w:spacing w:after="0" w:line="240" w:lineRule="auto"/>
              <w:rPr>
                <w:rFonts w:ascii="Arial" w:eastAsia="Times New Roman" w:hAnsi="Arial" w:cs="Arial"/>
                <w:sz w:val="20"/>
                <w:szCs w:val="20"/>
              </w:rPr>
            </w:pPr>
            <w:r w:rsidRPr="005740D1">
              <w:rPr>
                <w:rFonts w:ascii="Arial" w:eastAsia="Times New Roman" w:hAnsi="Arial" w:cs="Arial"/>
                <w:sz w:val="20"/>
                <w:szCs w:val="20"/>
              </w:rPr>
              <w:t> </w:t>
            </w:r>
          </w:p>
        </w:tc>
        <w:tc>
          <w:tcPr>
            <w:tcW w:w="0" w:type="auto"/>
            <w:vAlign w:val="bottom"/>
            <w:hideMark/>
          </w:tcPr>
          <w:p w:rsidR="005740D1" w:rsidRPr="005740D1" w:rsidRDefault="005740D1" w:rsidP="005740D1">
            <w:pPr>
              <w:spacing w:after="0" w:line="240" w:lineRule="auto"/>
              <w:rPr>
                <w:rFonts w:ascii="Arial" w:eastAsia="Times New Roman" w:hAnsi="Arial" w:cs="Arial"/>
                <w:sz w:val="20"/>
                <w:szCs w:val="20"/>
              </w:rPr>
            </w:pPr>
            <w:r w:rsidRPr="005740D1">
              <w:rPr>
                <w:rFonts w:ascii="Arial" w:eastAsia="Times New Roman" w:hAnsi="Arial" w:cs="Arial"/>
                <w:sz w:val="20"/>
                <w:szCs w:val="20"/>
              </w:rPr>
              <w:t> </w:t>
            </w:r>
          </w:p>
        </w:tc>
        <w:tc>
          <w:tcPr>
            <w:tcW w:w="0" w:type="auto"/>
            <w:gridSpan w:val="3"/>
            <w:vAlign w:val="bottom"/>
            <w:hideMark/>
          </w:tcPr>
          <w:p w:rsidR="005740D1" w:rsidRPr="005740D1" w:rsidRDefault="005740D1" w:rsidP="005740D1">
            <w:pPr>
              <w:spacing w:after="0" w:line="240" w:lineRule="auto"/>
              <w:rPr>
                <w:rFonts w:ascii="Arial" w:eastAsia="Times New Roman" w:hAnsi="Arial" w:cs="Arial"/>
                <w:sz w:val="20"/>
                <w:szCs w:val="20"/>
              </w:rPr>
            </w:pPr>
            <w:r w:rsidRPr="005740D1">
              <w:rPr>
                <w:rFonts w:ascii="Arial" w:eastAsia="Times New Roman" w:hAnsi="Arial" w:cs="Arial"/>
                <w:sz w:val="20"/>
                <w:szCs w:val="20"/>
              </w:rPr>
              <w:t> </w:t>
            </w:r>
          </w:p>
        </w:tc>
        <w:tc>
          <w:tcPr>
            <w:tcW w:w="0" w:type="auto"/>
            <w:vAlign w:val="bottom"/>
            <w:hideMark/>
          </w:tcPr>
          <w:p w:rsidR="005740D1" w:rsidRPr="005740D1" w:rsidRDefault="005740D1" w:rsidP="005740D1">
            <w:pPr>
              <w:spacing w:after="0" w:line="240" w:lineRule="auto"/>
              <w:rPr>
                <w:rFonts w:ascii="Arial" w:eastAsia="Times New Roman" w:hAnsi="Arial" w:cs="Arial"/>
                <w:sz w:val="20"/>
                <w:szCs w:val="20"/>
              </w:rPr>
            </w:pPr>
            <w:r w:rsidRPr="005740D1">
              <w:rPr>
                <w:rFonts w:ascii="Arial" w:eastAsia="Times New Roman" w:hAnsi="Arial" w:cs="Arial"/>
                <w:sz w:val="20"/>
                <w:szCs w:val="20"/>
              </w:rPr>
              <w:t> </w:t>
            </w:r>
          </w:p>
        </w:tc>
        <w:tc>
          <w:tcPr>
            <w:tcW w:w="0" w:type="auto"/>
            <w:gridSpan w:val="3"/>
            <w:vAlign w:val="bottom"/>
            <w:hideMark/>
          </w:tcPr>
          <w:p w:rsidR="005740D1" w:rsidRPr="005740D1" w:rsidRDefault="005740D1" w:rsidP="005740D1">
            <w:pPr>
              <w:spacing w:after="0" w:line="240" w:lineRule="auto"/>
              <w:rPr>
                <w:rFonts w:ascii="Arial" w:eastAsia="Times New Roman" w:hAnsi="Arial" w:cs="Arial"/>
                <w:sz w:val="20"/>
                <w:szCs w:val="20"/>
              </w:rPr>
            </w:pPr>
            <w:r w:rsidRPr="005740D1">
              <w:rPr>
                <w:rFonts w:ascii="Arial" w:eastAsia="Times New Roman" w:hAnsi="Arial" w:cs="Arial"/>
                <w:sz w:val="20"/>
                <w:szCs w:val="20"/>
              </w:rPr>
              <w:t> </w:t>
            </w:r>
          </w:p>
        </w:tc>
        <w:tc>
          <w:tcPr>
            <w:tcW w:w="0" w:type="auto"/>
            <w:vAlign w:val="bottom"/>
            <w:hideMark/>
          </w:tcPr>
          <w:p w:rsidR="005740D1" w:rsidRPr="005740D1" w:rsidRDefault="005740D1" w:rsidP="005740D1">
            <w:pPr>
              <w:spacing w:after="0" w:line="240" w:lineRule="auto"/>
              <w:rPr>
                <w:rFonts w:ascii="Arial" w:eastAsia="Times New Roman" w:hAnsi="Arial" w:cs="Arial"/>
                <w:sz w:val="20"/>
                <w:szCs w:val="20"/>
              </w:rPr>
            </w:pPr>
            <w:r w:rsidRPr="005740D1">
              <w:rPr>
                <w:rFonts w:ascii="Arial" w:eastAsia="Times New Roman" w:hAnsi="Arial" w:cs="Arial"/>
                <w:sz w:val="20"/>
                <w:szCs w:val="20"/>
              </w:rPr>
              <w:t> </w:t>
            </w:r>
          </w:p>
        </w:tc>
        <w:tc>
          <w:tcPr>
            <w:tcW w:w="0" w:type="auto"/>
            <w:gridSpan w:val="3"/>
            <w:vAlign w:val="bottom"/>
            <w:hideMark/>
          </w:tcPr>
          <w:p w:rsidR="005740D1" w:rsidRPr="005740D1" w:rsidRDefault="005740D1" w:rsidP="005740D1">
            <w:pPr>
              <w:spacing w:after="0" w:line="240" w:lineRule="auto"/>
              <w:rPr>
                <w:rFonts w:ascii="Arial" w:eastAsia="Times New Roman" w:hAnsi="Arial" w:cs="Arial"/>
                <w:sz w:val="20"/>
                <w:szCs w:val="20"/>
              </w:rPr>
            </w:pPr>
            <w:r w:rsidRPr="005740D1">
              <w:rPr>
                <w:rFonts w:ascii="Arial" w:eastAsia="Times New Roman" w:hAnsi="Arial" w:cs="Arial"/>
                <w:sz w:val="20"/>
                <w:szCs w:val="20"/>
              </w:rPr>
              <w:t> </w:t>
            </w:r>
          </w:p>
        </w:tc>
        <w:tc>
          <w:tcPr>
            <w:tcW w:w="0" w:type="auto"/>
            <w:vAlign w:val="bottom"/>
            <w:hideMark/>
          </w:tcPr>
          <w:p w:rsidR="005740D1" w:rsidRPr="005740D1" w:rsidRDefault="005740D1" w:rsidP="005740D1">
            <w:pPr>
              <w:spacing w:after="0" w:line="240" w:lineRule="auto"/>
              <w:rPr>
                <w:rFonts w:ascii="Arial" w:eastAsia="Times New Roman" w:hAnsi="Arial" w:cs="Arial"/>
                <w:sz w:val="20"/>
                <w:szCs w:val="20"/>
              </w:rPr>
            </w:pPr>
            <w:r w:rsidRPr="005740D1">
              <w:rPr>
                <w:rFonts w:ascii="Arial" w:eastAsia="Times New Roman" w:hAnsi="Arial" w:cs="Arial"/>
                <w:sz w:val="20"/>
                <w:szCs w:val="20"/>
              </w:rPr>
              <w:t> </w:t>
            </w:r>
          </w:p>
        </w:tc>
        <w:tc>
          <w:tcPr>
            <w:tcW w:w="0" w:type="auto"/>
            <w:gridSpan w:val="3"/>
            <w:vAlign w:val="bottom"/>
            <w:hideMark/>
          </w:tcPr>
          <w:p w:rsidR="005740D1" w:rsidRPr="005740D1" w:rsidRDefault="005740D1" w:rsidP="005740D1">
            <w:pPr>
              <w:spacing w:after="0" w:line="240" w:lineRule="auto"/>
              <w:rPr>
                <w:rFonts w:ascii="Arial" w:eastAsia="Times New Roman" w:hAnsi="Arial" w:cs="Arial"/>
                <w:sz w:val="20"/>
                <w:szCs w:val="20"/>
              </w:rPr>
            </w:pPr>
            <w:r w:rsidRPr="005740D1">
              <w:rPr>
                <w:rFonts w:ascii="Arial" w:eastAsia="Times New Roman" w:hAnsi="Arial" w:cs="Arial"/>
                <w:sz w:val="20"/>
                <w:szCs w:val="20"/>
              </w:rPr>
              <w:t> </w:t>
            </w:r>
          </w:p>
        </w:tc>
      </w:tr>
      <w:tr w:rsidR="005740D1" w:rsidRPr="005740D1" w:rsidTr="005740D1">
        <w:tc>
          <w:tcPr>
            <w:tcW w:w="20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Balance, June 30, 2014</w:t>
            </w:r>
          </w:p>
        </w:tc>
        <w:tc>
          <w:tcPr>
            <w:tcW w:w="1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3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87,210,000</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1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3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8,721</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1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3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514,485</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1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3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(12,411</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1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3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(339,406</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1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3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171,389</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Amortization of Prepaid services paid with common stock</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7,500</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7,500</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(233,008</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(233,008</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Balance, June 30, 2015</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87,210,000</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8,721</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514,485</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(4,911</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(572,414</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(54,119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Retirement of Shares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(39,869,999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Shares Issued for Acquisition</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39,820,000</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2,397,075</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2,397,075</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Prepaid services paid with common stock</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4,911</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4,911</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(431,923</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(431,923</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Balance, June 30, 2016</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87,160,001</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8,716</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2,911,560</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(1,004,337</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1,915,939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Options vested (unaudited)</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20,112</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20,112</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Issuance of Shares (unaudited)</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524,999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53</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99,947</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99,999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Net loss (unaudited)</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(709,141</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(709,141</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Balance,December 31, 2016 (unaudited)</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87,685,000</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8,769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3,031,619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(1,713,478</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1,326,909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bl>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20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See accompanying notes to financial statement</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-4-</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u w:val="single"/>
        </w:rPr>
        <w:t>BIOVIE INC. (F/K/A NANOANTIBIOTICS, INC.)</w:t>
      </w:r>
    </w:p>
    <w:p w:rsidR="005740D1" w:rsidRPr="005740D1" w:rsidRDefault="005740D1" w:rsidP="005740D1">
      <w:pPr>
        <w:spacing w:after="200" w:line="240" w:lineRule="auto"/>
        <w:jc w:val="center"/>
        <w:rPr>
          <w:rFonts w:ascii="Times New Roman" w:eastAsia="Times New Roman" w:hAnsi="Times New Roman" w:cs="Times New Roman"/>
          <w:sz w:val="20"/>
          <w:szCs w:val="20"/>
        </w:rPr>
      </w:pPr>
      <w:bookmarkStart w:id="6" w:name="a_015"/>
      <w:bookmarkEnd w:id="6"/>
      <w:r w:rsidRPr="005740D1">
        <w:rPr>
          <w:rFonts w:ascii="Times New Roman" w:eastAsia="Times New Roman" w:hAnsi="Times New Roman" w:cs="Times New Roman"/>
          <w:b/>
          <w:bCs/>
          <w:sz w:val="20"/>
          <w:szCs w:val="20"/>
          <w:u w:val="single"/>
        </w:rPr>
        <w:t>STATEMENT OF CASH FLOWS (UNAUDITED)</w:t>
      </w:r>
    </w:p>
    <w:tbl>
      <w:tblPr>
        <w:tblW w:w="5000" w:type="pct"/>
        <w:tblCellMar>
          <w:left w:w="0" w:type="dxa"/>
          <w:right w:w="0" w:type="dxa"/>
        </w:tblCellMar>
        <w:tblLook w:val="04A0" w:firstRow="1" w:lastRow="0" w:firstColumn="1" w:lastColumn="0" w:noHBand="0" w:noVBand="1"/>
      </w:tblPr>
      <w:tblGrid>
        <w:gridCol w:w="5239"/>
        <w:gridCol w:w="746"/>
        <w:gridCol w:w="101"/>
        <w:gridCol w:w="1121"/>
        <w:gridCol w:w="92"/>
        <w:gridCol w:w="747"/>
        <w:gridCol w:w="101"/>
        <w:gridCol w:w="1121"/>
        <w:gridCol w:w="92"/>
      </w:tblGrid>
      <w:tr w:rsidR="005740D1" w:rsidRPr="005740D1" w:rsidTr="005740D1">
        <w:tc>
          <w:tcPr>
            <w:tcW w:w="0" w:type="auto"/>
            <w:vAlign w:val="bottom"/>
            <w:hideMark/>
          </w:tcPr>
          <w:p w:rsidR="005740D1" w:rsidRPr="005740D1" w:rsidRDefault="005740D1" w:rsidP="005740D1">
            <w:pPr>
              <w:spacing w:after="0" w:line="240" w:lineRule="auto"/>
              <w:rPr>
                <w:rFonts w:ascii="Arial" w:eastAsia="Times New Roman" w:hAnsi="Arial" w:cs="Arial"/>
                <w:sz w:val="20"/>
                <w:szCs w:val="20"/>
              </w:rPr>
            </w:pPr>
            <w:r w:rsidRPr="005740D1">
              <w:rPr>
                <w:rFonts w:ascii="Arial" w:eastAsia="Times New Roman" w:hAnsi="Arial" w:cs="Arial"/>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For the Six Months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For the Six Months</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Ended</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Ended</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Ended December 31,</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Ended December 31,</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2015</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(Unaudited)</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(Unaudited)</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CASH FLOWS FROM OPERATING ACTIVITIES: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2800" w:type="pct"/>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Net loss</w:t>
            </w:r>
          </w:p>
        </w:tc>
        <w:tc>
          <w:tcPr>
            <w:tcW w:w="4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6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(709,141</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4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6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(104,444</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Adjustments to reconcile net loss to net cash to cash used by operating activities: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Amortization of prepaid services paid with common stock</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3,781</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Amortization of intangible assets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114,689</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Share based compensation expense</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20,125</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Changes in operating assets and liabilities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4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Decrease in prepaid expenses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6,982</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2,000</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4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Increase (decrease) in:</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6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Accounts Payable</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212,621</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6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125,000</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80,738</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Net cash used by operating activities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(229,725</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(17,925</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CASH FLOWS FROM INVESTING ACTIVITIES: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Net cash used by investing activities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CASH FLOWS FROM FINANCING ACTIVITIES: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Proceeds from loan payable</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10,500</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Proceeds from issuance of common Stock</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99,987</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Net cash provided by financing activities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110,487</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Net decrease in cash</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(119,238</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(17,925</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123,757</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267,481</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4,519</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249,556</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SUPPLEMENTAL CASH FLOW INFORMATION:</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Cash paid for interest</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20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Cash paid for income tax</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bl>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20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See accompanying notes to financial statement</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-5-</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center"/>
        <w:rPr>
          <w:rFonts w:ascii="Times New Roman" w:eastAsia="Times New Roman" w:hAnsi="Times New Roman" w:cs="Times New Roman"/>
          <w:sz w:val="20"/>
          <w:szCs w:val="20"/>
        </w:rPr>
      </w:pPr>
      <w:bookmarkStart w:id="7" w:name="a_016"/>
      <w:bookmarkEnd w:id="7"/>
      <w:r w:rsidRPr="005740D1">
        <w:rPr>
          <w:rFonts w:ascii="Times New Roman" w:eastAsia="Times New Roman" w:hAnsi="Times New Roman" w:cs="Times New Roman"/>
          <w:b/>
          <w:bCs/>
          <w:sz w:val="20"/>
          <w:szCs w:val="20"/>
        </w:rPr>
        <w:t>BIOVIE INC. (F/K/A NANOANTIBIOTICS, INC.)</w:t>
      </w:r>
    </w:p>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Notes to Financial Statements</w:t>
      </w:r>
    </w:p>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For the Six Months Ended December 31, 2016 and 2015</w:t>
      </w:r>
    </w:p>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(unaudited)</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5740D1" w:rsidRPr="005740D1" w:rsidTr="005740D1">
        <w:tc>
          <w:tcPr>
            <w:tcW w:w="150" w:type="pct"/>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b/>
                <w:bCs/>
                <w:sz w:val="20"/>
                <w:szCs w:val="20"/>
              </w:rPr>
              <w:t>1.</w:t>
            </w:r>
          </w:p>
        </w:tc>
        <w:tc>
          <w:tcPr>
            <w:tcW w:w="4850" w:type="pct"/>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b/>
                <w:bCs/>
                <w:sz w:val="20"/>
                <w:szCs w:val="20"/>
              </w:rPr>
              <w:t>Background Information</w:t>
            </w:r>
          </w:p>
        </w:tc>
      </w:tr>
    </w:tbl>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BioVie Inc. (F/K/A NanoAntibiotics, Inc.) (the “Company”) is a development stage enterprise that was incorporated in the state of Nevada on April 10, 2013.  The Company is engaged in the discovery, development and commercialization of a therapy targeting ascites due to liver cirrhosis. Ascites due to liver cirrhosis is a life-threatening condition affecting about 100,000 Americans and many times more worldwide. Our therapy BIV201 is based on a drug that’s approved in about 40 countries to treat related complications of liver cirrhosis (part of the same disease pathway as ascites), but not yet available in the US. BIV201’s active agent is a potent vasoconstrictor and has shown efficacy for reducing portal hypertension in studies around the world. The goal is for BIV201 to interrupt the ascites disease pathway, thereby halting the cycle of accelerating fluid generation in ascites patients. The BIV201 development program began at LAT Pharma LLC. On April 11, 2016, the Company acquired LAT Pharma LLC and the rights to its BIV201 development program. We currently own all development and marketing rights to our drug candidate, except as noted previously, the Company and PharmaIN have exchanged small (low single-digit) ownership rights to each other’s ascites drug development programs. The Company recently filed patent applications for its drug candidate in the US and Japan, as well as a PCT in Europe. We are currently completing the work necessary to file our investigational new drug (IND) application, and aim to commence clinical trials should the FDA approve our application.</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5740D1" w:rsidRPr="005740D1" w:rsidTr="005740D1">
        <w:tc>
          <w:tcPr>
            <w:tcW w:w="150" w:type="pct"/>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b/>
                <w:bCs/>
                <w:sz w:val="20"/>
                <w:szCs w:val="20"/>
              </w:rPr>
              <w:t>2.</w:t>
            </w:r>
          </w:p>
        </w:tc>
        <w:tc>
          <w:tcPr>
            <w:tcW w:w="4850" w:type="pct"/>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b/>
                <w:bCs/>
                <w:sz w:val="20"/>
                <w:szCs w:val="20"/>
              </w:rPr>
              <w:t>Going Concern</w:t>
            </w:r>
          </w:p>
        </w:tc>
      </w:tr>
    </w:tbl>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accompanying financial statements have been prepared assuming that the Company will continue as a going concern. For the six months ended December 31, 2016, the Company had a net loss of $709,141.  As of December 31, 2016, the Company has not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public equity securities. The Company intends on financing its future development activities and its working capital needs largely from the sale of public equity securities with some additional funding from other traditional financing sources, including term notes and proceeds from sub-licensing agreements until such time that funds provided by operations are sufficient to fund working capital requirements. The financial statements of the Company do not include any adjustments relating to the recoverability and classification of recorded assets, or the amounts and classifications of liabilities that might be necessary should the Company be unable to continue as a going concern.</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-6-</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5740D1" w:rsidRPr="005740D1" w:rsidTr="005740D1">
        <w:tc>
          <w:tcPr>
            <w:tcW w:w="150" w:type="pct"/>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b/>
                <w:bCs/>
                <w:sz w:val="20"/>
                <w:szCs w:val="20"/>
              </w:rPr>
              <w:t>3.</w:t>
            </w:r>
          </w:p>
        </w:tc>
        <w:tc>
          <w:tcPr>
            <w:tcW w:w="4850" w:type="pct"/>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b/>
                <w:bCs/>
                <w:sz w:val="20"/>
                <w:szCs w:val="20"/>
              </w:rPr>
              <w:t>Significant Accounting Policies</w:t>
            </w:r>
          </w:p>
        </w:tc>
      </w:tr>
    </w:tbl>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Unaudited Interim Financial Statements</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accompanying unaudited financial statements have been prepared in accordance with generally accepted accounting principles in the United States of America for interim financial information and with the instructions to Form 10-Q and Regulation S-X.  Accordingly, the financial statements do not include all of the information and footnotes required by generally accepted accounting principles for complete financial statements.</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 the opinion of management, all adjustments consisting of normal recurring entries necessary for a fair statement of the periods presented for: (a) the financial position; (b) the result of operations; and (c) cash flows, have been made in order to make the financial statements presented not misleading.  The results of operations for such interim periods are not necessarily indicative of operations for a full year.</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Basis of Presentation</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Cash</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Cash is maintained at financial institutions and, at times, balances may exceed federally insured limits. We have never experienced any losses related to these balances. All of our cash balances were fully insured at December 31, 2016.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Financial Instruments</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Research and Development</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Research and development costs are charged to operations when incurred and are included in operating expenses. The Company expensed $255,829 for research and development for the six months ended December 31, 2016.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-7-</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Income Taxes</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Company follows the provisions of FASB ASC 740-10 “</w:t>
      </w:r>
      <w:r w:rsidRPr="005740D1">
        <w:rPr>
          <w:rFonts w:ascii="Times New Roman" w:eastAsia="Times New Roman" w:hAnsi="Times New Roman" w:cs="Times New Roman"/>
          <w:i/>
          <w:iCs/>
          <w:sz w:val="20"/>
          <w:szCs w:val="20"/>
        </w:rPr>
        <w:t>Uncertainty in Income Taxes</w:t>
      </w:r>
      <w:r w:rsidRPr="005740D1">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December 31, 2016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Earnings (Loss) per Share</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Basic earnings per share are computed by dividing net income by the weighted average number of shares of common stock outstanding during the period. Diluted earnings per common share are computed by dividing net income by the weighted average number of shares of common stock outstanding and dilutive options outstanding during the period. For the six months ended December 31, 2016 all outstanding options have been excluded from the calculation of the diluted net loss per share since their effect was anti-dilutive.</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Stock-based Compensation</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 </w:t>
      </w:r>
      <w:r w:rsidRPr="005740D1">
        <w:rPr>
          <w:rFonts w:ascii="Times New Roman" w:eastAsia="Times New Roman" w:hAnsi="Times New Roman" w:cs="Times New Roman"/>
          <w:i/>
          <w:iCs/>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-8-</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Fair Value Measurements</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 September 2006, the Financial Accounting Standards Board (FASB) introduced a framework for measuring fair value and expanded required disclosure about fair value measurements of assets and liabilities. The Company adopted the standard for those financial assets and liabilities as of the beginning of the 2013 fiscal year and the impact of adoption was not significant. FASB Accounting Standards Codification (ASC) 820 “</w:t>
      </w:r>
      <w:r w:rsidRPr="005740D1">
        <w:rPr>
          <w:rFonts w:ascii="Times New Roman" w:eastAsia="Times New Roman" w:hAnsi="Times New Roman" w:cs="Times New Roman"/>
          <w:i/>
          <w:iCs/>
          <w:sz w:val="20"/>
          <w:szCs w:val="20"/>
        </w:rPr>
        <w:t>Fair Value Measurements and Disclosures</w:t>
      </w:r>
      <w:r w:rsidRPr="005740D1">
        <w:rPr>
          <w:rFonts w:ascii="Times New Roman" w:eastAsia="Times New Roman" w:hAnsi="Times New Roman" w:cs="Times New Roman"/>
          <w:sz w:val="20"/>
          <w:szCs w:val="20"/>
        </w:rPr>
        <w:t>” (ASC 820) defines fair value as the exchange price that would be received for an asset or paid to transfer a liability (an exit price) in the principal or most advantageous market for the asset or liability in an orderly transaction between market participants on the measurement date. ASC 820 also establishes a fair value hierarchy that distinguishes between (1) market participant assumptions developed based on market data obtained from independent sources (observable inputs) and (2) an entity’s own assumptions about market participant assumptions developed based on the best information available in the circumstances (unobservable inputs). The fair value hierarchy consists of three broad levels, which gives the highest priority to unadjusted quoted prices in active markets for identical assets or liabilities (Level 1) and the lowest priority to unobservable inputs (Level 3). The three levels of the fair value hierarchy are described below: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Level 1 - Unadjusted quoted prices in active markets that are accessible at the measurement date for identical, unrestricted assets or liabilities.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Level 2 - Inputs other than quoted prices included within Level 1 that are observable for the asset or liability, either directly or indirectly, including quoted prices for similar assets or liabilities in active markets; quoted prices for identical or similar assets or liabilities in markets that are not active; inputs other than quoted prices that are observable for the asset or liability (e.g., interest rates); and inputs that are derived principally from or corroborated by observable market data by correlation or other means.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Level 3 - Inputs that are both significant to the fair value measurement and unobservable.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Fair value estimates discussed herein are based upon certain market assumptions and pertinent information available to management as of December 31, 2016. The respective carrying value of certain on-balance-sheet financial instruments approximated their fair values due to the short-term nature of these instruments. These financial instruments include accrued payroll.</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u w:val="single"/>
        </w:rPr>
        <w:t>Recent accounting pronouncements</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Company has reviewed recent accounting pronouncements issued by the FASB (including its EITF), the AICPA, and the SEC and did not or are not believed by management to have a material impact on the Company’s financial statements.</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4. Related Party Loan</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LAT Pharma was given a zero-interest bearing loan by the company’s General Partner, Jonathan Adams in the amount of $5,000 in August 2015 and $5,000 in November 2015. The total of $10,000 was outstanding when the Company merged with LAT Pharma. As of December 31</w:t>
      </w:r>
      <w:r w:rsidRPr="005740D1">
        <w:rPr>
          <w:rFonts w:ascii="Times New Roman" w:eastAsia="Times New Roman" w:hAnsi="Times New Roman" w:cs="Times New Roman"/>
          <w:sz w:val="20"/>
          <w:szCs w:val="20"/>
          <w:vertAlign w:val="superscript"/>
        </w:rPr>
        <w:t>th</w:t>
      </w:r>
      <w:r w:rsidRPr="005740D1">
        <w:rPr>
          <w:rFonts w:ascii="Times New Roman" w:eastAsia="Times New Roman" w:hAnsi="Times New Roman" w:cs="Times New Roman"/>
          <w:sz w:val="20"/>
          <w:szCs w:val="20"/>
        </w:rPr>
        <w:t>, 2016 the Company has an outstanding balance of $10,000 payable on demand to the CEO, Jonathan Adams.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-9-</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rPr>
      </w:pPr>
      <w:r w:rsidRPr="005740D1">
        <w:rPr>
          <w:rFonts w:ascii="Times New Roman" w:eastAsia="Times New Roman" w:hAnsi="Times New Roman" w:cs="Times New Roman"/>
          <w:b/>
          <w:bCs/>
          <w:sz w:val="20"/>
          <w:szCs w:val="20"/>
        </w:rPr>
        <w:t>5. Commitments and Contingencies</w:t>
      </w:r>
      <w:r w:rsidRPr="005740D1">
        <w:rPr>
          <w:rFonts w:ascii="Times New Roman" w:eastAsia="Times New Roman" w:hAnsi="Times New Roman" w:cs="Times New Roman"/>
        </w:rPr>
        <w:t> </w:t>
      </w:r>
    </w:p>
    <w:p w:rsidR="005740D1" w:rsidRPr="005740D1" w:rsidRDefault="005740D1" w:rsidP="005740D1">
      <w:pPr>
        <w:spacing w:after="0" w:line="240" w:lineRule="auto"/>
        <w:rPr>
          <w:rFonts w:ascii="Times New Roman" w:eastAsia="Times New Roman" w:hAnsi="Times New Roman" w:cs="Times New Roman"/>
        </w:rPr>
      </w:pPr>
      <w:r w:rsidRPr="005740D1">
        <w:rPr>
          <w:rFonts w:ascii="Times New Roman" w:eastAsia="Times New Roman" w:hAnsi="Times New Roman" w:cs="Times New Roman"/>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Office Lease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$357 ($4,284 annually for each of the five years, total aggregate of $21,420).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Employment Agreements</w:t>
      </w:r>
      <w:r w:rsidRPr="005740D1">
        <w:rPr>
          <w:rFonts w:ascii="Times New Roman" w:eastAsia="Times New Roman" w:hAnsi="Times New Roman" w:cs="Times New Roman"/>
          <w:b/>
          <w:bCs/>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On April 11, 2016 the Company entered into employment agreement with CEO Jonathan Adams. The Company’s agreement provides for a three-year term with minimum annual base salary of $250,000 per year. Effective April 11, 2016, the (previous) CEO/CFO resigned.</w:t>
      </w:r>
    </w:p>
    <w:p w:rsidR="005740D1" w:rsidRPr="005740D1" w:rsidRDefault="005740D1" w:rsidP="005740D1">
      <w:pPr>
        <w:spacing w:after="0" w:line="240" w:lineRule="auto"/>
        <w:jc w:val="both"/>
        <w:rPr>
          <w:rFonts w:ascii="Times New Roman" w:eastAsia="Times New Roman" w:hAnsi="Times New Roman" w:cs="Times New Roman"/>
        </w:rPr>
      </w:pPr>
      <w:r w:rsidRPr="005740D1">
        <w:rPr>
          <w:rFonts w:ascii="Times New Roman" w:eastAsia="Times New Roman" w:hAnsi="Times New Roman" w:cs="Times New Roman"/>
        </w:rPr>
        <w:t> </w:t>
      </w:r>
    </w:p>
    <w:tbl>
      <w:tblPr>
        <w:tblW w:w="5000" w:type="pct"/>
        <w:tblCellMar>
          <w:left w:w="0" w:type="dxa"/>
          <w:right w:w="0" w:type="dxa"/>
        </w:tblCellMar>
        <w:tblLook w:val="04A0" w:firstRow="1" w:lastRow="0" w:firstColumn="1" w:lastColumn="0" w:noHBand="0" w:noVBand="1"/>
      </w:tblPr>
      <w:tblGrid>
        <w:gridCol w:w="150"/>
        <w:gridCol w:w="9210"/>
      </w:tblGrid>
      <w:tr w:rsidR="005740D1" w:rsidRPr="005740D1" w:rsidTr="005740D1">
        <w:tc>
          <w:tcPr>
            <w:tcW w:w="50" w:type="pct"/>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b/>
                <w:bCs/>
                <w:sz w:val="20"/>
                <w:szCs w:val="20"/>
              </w:rPr>
              <w:t>6.</w:t>
            </w:r>
          </w:p>
        </w:tc>
        <w:tc>
          <w:tcPr>
            <w:tcW w:w="4950" w:type="pct"/>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b/>
                <w:bCs/>
                <w:sz w:val="20"/>
                <w:szCs w:val="20"/>
              </w:rPr>
              <w:t>Income Taxes</w:t>
            </w:r>
          </w:p>
        </w:tc>
      </w:tr>
    </w:tbl>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Deferred taxes are recorded for all existing temporary differences in the Company’s assets and liabilities for income tax and financial reporting purposes. Due to the valuation allowance for deferred tax assets, as noted below, there were no net deferred tax benefit or expense for the six months ended December 31, 2016.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There is no current or deferred income tax expense or benefit allocated to continuing operations for the six months ended December 31, 2016.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provision for income taxes is different from that which would be obtained by applying the statutory federal income tax rate to income before income taxes. The items causing this difference are as follows: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rPr>
            </w:pPr>
            <w:r w:rsidRPr="005740D1">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December 31, 2016</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June 30, 2016</w:t>
            </w:r>
          </w:p>
        </w:tc>
      </w:tr>
      <w:tr w:rsidR="005740D1" w:rsidRPr="005740D1" w:rsidTr="005740D1">
        <w:tc>
          <w:tcPr>
            <w:tcW w:w="28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Tax expense (benefit) at U.S. statutory rate</w:t>
            </w:r>
          </w:p>
        </w:tc>
        <w:tc>
          <w:tcPr>
            <w:tcW w:w="4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6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(241,116</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4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6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(111,343</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State income tax expense (benefit), net of federal benefit</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(35,458</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(16,374</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Effect of non-deductible expenses</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Other</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Change in valuation allowance</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276,574</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127,717</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rPr>
            </w:pPr>
            <w:r w:rsidRPr="005740D1">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bl>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tax effects of temporary differences that give rise to significant portions of the deferred tax assets and deferred tax liabilities at December 31, 2016 were as follows:</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0"/>
        <w:gridCol w:w="934"/>
        <w:gridCol w:w="100"/>
        <w:gridCol w:w="1683"/>
        <w:gridCol w:w="93"/>
      </w:tblGrid>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Deferred tax assets (liability), noncurrent:</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rPr>
            </w:pPr>
            <w:r w:rsidRPr="005740D1">
              <w:rPr>
                <w:rFonts w:ascii="Times New Roman" w:eastAsia="Times New Roman" w:hAnsi="Times New Roman" w:cs="Times New Roman"/>
              </w:rPr>
              <w:t> </w:t>
            </w:r>
          </w:p>
        </w:tc>
        <w:tc>
          <w:tcPr>
            <w:tcW w:w="0" w:type="auto"/>
            <w:gridSpan w:val="3"/>
            <w:vAlign w:val="bottom"/>
            <w:hideMark/>
          </w:tcPr>
          <w:p w:rsidR="005740D1" w:rsidRPr="005740D1" w:rsidRDefault="005740D1" w:rsidP="005740D1">
            <w:pPr>
              <w:spacing w:after="0" w:line="240" w:lineRule="auto"/>
              <w:jc w:val="right"/>
              <w:rPr>
                <w:rFonts w:ascii="Times New Roman" w:eastAsia="Times New Roman" w:hAnsi="Times New Roman" w:cs="Times New Roman"/>
              </w:rPr>
            </w:pPr>
            <w:r w:rsidRPr="005740D1">
              <w:rPr>
                <w:rFonts w:ascii="Times New Roman" w:eastAsia="Times New Roman" w:hAnsi="Times New Roman" w:cs="Times New Roman"/>
              </w:rPr>
              <w:t> </w:t>
            </w:r>
          </w:p>
        </w:tc>
      </w:tr>
      <w:tr w:rsidR="005740D1" w:rsidRPr="005740D1" w:rsidTr="005740D1">
        <w:tc>
          <w:tcPr>
            <w:tcW w:w="35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Net operating loss</w:t>
            </w:r>
          </w:p>
        </w:tc>
        <w:tc>
          <w:tcPr>
            <w:tcW w:w="5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9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668,422</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Valuation allowance</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(668,422</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rPr>
            </w:pPr>
            <w:r w:rsidRPr="005740D1">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bl>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Change in valuation allowance:</w:t>
      </w:r>
    </w:p>
    <w:tbl>
      <w:tblPr>
        <w:tblW w:w="5000" w:type="pct"/>
        <w:tblCellMar>
          <w:left w:w="0" w:type="dxa"/>
          <w:right w:w="0" w:type="dxa"/>
        </w:tblCellMar>
        <w:tblLook w:val="04A0" w:firstRow="1" w:lastRow="0" w:firstColumn="1" w:lastColumn="0" w:noHBand="0" w:noVBand="1"/>
      </w:tblPr>
      <w:tblGrid>
        <w:gridCol w:w="6550"/>
        <w:gridCol w:w="934"/>
        <w:gridCol w:w="100"/>
        <w:gridCol w:w="1683"/>
        <w:gridCol w:w="93"/>
      </w:tblGrid>
      <w:tr w:rsidR="005740D1" w:rsidRPr="005740D1" w:rsidTr="005740D1">
        <w:tc>
          <w:tcPr>
            <w:tcW w:w="35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Balance, June 30, 2016</w:t>
            </w:r>
          </w:p>
        </w:tc>
        <w:tc>
          <w:tcPr>
            <w:tcW w:w="50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9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391,848</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Increase in valuation allowance</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276,574</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Balance, December 31, 2016</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668,422</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bl>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Since management of the Company believes that it is more likely than not that the net deferred tax assets will not provide future benefit, the Company has established a 100 percent valuation allowance on the net deferred tax assets as of December 31, 2016.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lastRenderedPageBreak/>
        <w:t>As of December 31, 2016, the Company had federal and state net operating loss carry-forwards totaling approximately $1,700,000 which begin expiring in 2022.</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-10-</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7. Purchase of LAT Pharma</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On April 11, 2016, the Company entered into and consummated an Agreement and Plan of Merger (the “Merger Agreement”), with LAT Acquisition Corp., a Nevada corporation and wholly-owned subsidiary of the Company (“Acquisition”) and LAT Pharma, LLC an Illinois limited liability company (“LAT”). Pursuant to the terms of the Merger Agreement, Acquisition merged with and into LAT in a statutory triangular merger (the “Merger”) with LAT surviving as a wholly-owned subsidiary of the Company. As consideration for the Merger, the Company issued the interest holders of LAT (the “LAT Holders”) an aggregate of 39,820,000 shares of our Common Stock issued to the LAT Holders in accordance with their pro rata ownership of LAT membership interests prior to the Merger. Following the Merger, the Registrant will continue the development of LAT’s lead clinical therapeutic candidate Continuous low-dose Infusion (CI) Terlipressin.</w:t>
      </w:r>
    </w:p>
    <w:p w:rsidR="005740D1" w:rsidRPr="005740D1" w:rsidRDefault="005740D1" w:rsidP="005740D1">
      <w:pPr>
        <w:spacing w:after="0" w:line="240" w:lineRule="auto"/>
        <w:ind w:firstLine="720"/>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Immediately prior to the Merger, the Company had 87,210,000 shares of Common Stock issued and outstanding. In connection with the Merger, certain shareholders of the Company collectively agreed to retire and cancel an aggregate of 39,869,999 shares of Common Stock. Following the consummation of the Merger, the issuance of the Merger Shares of the 39,820,000 shares of Common Stock, the Company had 87,160,001 shares of Common Stock issued and outstanding and the LAT Holders beneficially own 39,820,000 shares or approximately forty-six percent (46%) of such issued and outstanding Common Stock.</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Under the purchase method of accounting, the transaction was valued for accounting purposes at $2,389,200, which was the estimated fair value of the consideration paid by the Company. The estimate was based on the consideration paid of 39,820,000 shares of common stock valued based on the closing price on 04/11/2016 of $0.06 per share.</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assets and liabilities of LAT Pharma, Inc. were recorded at their respective fair values as of the closing date of the Merger Agreement, and the following table summarizes these values based on the balance sheet at April 11, 2016.</w:t>
      </w:r>
    </w:p>
    <w:p w:rsidR="005740D1" w:rsidRPr="005740D1" w:rsidRDefault="005740D1" w:rsidP="005740D1">
      <w:pPr>
        <w:spacing w:after="0" w:line="240" w:lineRule="auto"/>
        <w:jc w:val="both"/>
        <w:rPr>
          <w:rFonts w:ascii="Times New Roman" w:eastAsia="Times New Roman" w:hAnsi="Times New Roman" w:cs="Times New Roman"/>
        </w:rPr>
      </w:pPr>
      <w:r w:rsidRPr="005740D1">
        <w:rPr>
          <w:rFonts w:ascii="Times New Roman" w:eastAsia="Times New Roman" w:hAnsi="Times New Roman" w:cs="Times New Roman"/>
        </w:rPr>
        <w:t> </w:t>
      </w:r>
    </w:p>
    <w:tbl>
      <w:tblPr>
        <w:tblW w:w="5760" w:type="dxa"/>
        <w:tblCellMar>
          <w:left w:w="0" w:type="dxa"/>
          <w:right w:w="0" w:type="dxa"/>
        </w:tblCellMar>
        <w:tblLook w:val="04A0" w:firstRow="1" w:lastRow="0" w:firstColumn="1" w:lastColumn="0" w:noHBand="0" w:noVBand="1"/>
      </w:tblPr>
      <w:tblGrid>
        <w:gridCol w:w="100"/>
        <w:gridCol w:w="800"/>
        <w:gridCol w:w="50"/>
        <w:gridCol w:w="50"/>
        <w:gridCol w:w="50"/>
        <w:gridCol w:w="4710"/>
      </w:tblGrid>
      <w:tr w:rsidR="005740D1" w:rsidRPr="005740D1" w:rsidTr="005740D1">
        <w:tc>
          <w:tcPr>
            <w:tcW w:w="50" w:type="pct"/>
            <w:vAlign w:val="bottom"/>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w:t>
            </w:r>
          </w:p>
        </w:tc>
        <w:tc>
          <w:tcPr>
            <w:tcW w:w="400" w:type="pct"/>
            <w:vAlign w:val="center"/>
            <w:hideMark/>
          </w:tcPr>
          <w:p w:rsidR="005740D1" w:rsidRPr="005740D1" w:rsidRDefault="005740D1" w:rsidP="005740D1">
            <w:pPr>
              <w:spacing w:after="0" w:line="276" w:lineRule="auto"/>
              <w:jc w:val="right"/>
              <w:rPr>
                <w:rFonts w:ascii="Calibri" w:eastAsia="Times New Roman" w:hAnsi="Calibri" w:cs="Times New Roman"/>
              </w:rPr>
            </w:pPr>
            <w:r w:rsidRPr="005740D1">
              <w:rPr>
                <w:rFonts w:ascii="Times New Roman" w:eastAsia="Times New Roman" w:hAnsi="Times New Roman" w:cs="Times New Roman"/>
                <w:sz w:val="20"/>
                <w:szCs w:val="20"/>
              </w:rPr>
              <w:t>2,303,682</w:t>
            </w:r>
          </w:p>
        </w:tc>
        <w:tc>
          <w:tcPr>
            <w:tcW w:w="50" w:type="pct"/>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50" w:type="pct"/>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50" w:type="pct"/>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Calibri" w:eastAsia="Times New Roman" w:hAnsi="Calibri" w:cs="Times New Roman"/>
              </w:rPr>
              <w:t> </w:t>
            </w:r>
          </w:p>
        </w:tc>
        <w:tc>
          <w:tcPr>
            <w:tcW w:w="4400" w:type="pct"/>
            <w:vAlign w:val="center"/>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Assets Purchased</w:t>
            </w:r>
          </w:p>
        </w:tc>
      </w:tr>
      <w:tr w:rsidR="005740D1" w:rsidRPr="005740D1" w:rsidTr="005740D1">
        <w:tc>
          <w:tcPr>
            <w:tcW w:w="0" w:type="auto"/>
            <w:tcBorders>
              <w:bottom w:val="single" w:sz="8" w:space="0" w:color="000000"/>
            </w:tcBorders>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tcBorders>
              <w:bottom w:val="single" w:sz="8" w:space="0" w:color="000000"/>
            </w:tcBorders>
            <w:vAlign w:val="center"/>
            <w:hideMark/>
          </w:tcPr>
          <w:p w:rsidR="005740D1" w:rsidRPr="005740D1" w:rsidRDefault="005740D1" w:rsidP="005740D1">
            <w:pPr>
              <w:spacing w:after="0" w:line="276" w:lineRule="auto"/>
              <w:jc w:val="right"/>
              <w:rPr>
                <w:rFonts w:ascii="Calibri" w:eastAsia="Times New Roman" w:hAnsi="Calibri" w:cs="Times New Roman"/>
              </w:rPr>
            </w:pPr>
            <w:r w:rsidRPr="005740D1">
              <w:rPr>
                <w:rFonts w:ascii="Times New Roman" w:eastAsia="Times New Roman" w:hAnsi="Times New Roman" w:cs="Times New Roman"/>
                <w:sz w:val="20"/>
                <w:szCs w:val="20"/>
              </w:rPr>
              <w:t>260,193</w:t>
            </w:r>
          </w:p>
        </w:tc>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Calibri" w:eastAsia="Times New Roman" w:hAnsi="Calibri" w:cs="Times New Roman"/>
              </w:rPr>
              <w:t> </w:t>
            </w:r>
          </w:p>
        </w:tc>
        <w:tc>
          <w:tcPr>
            <w:tcW w:w="0" w:type="auto"/>
            <w:vAlign w:val="center"/>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Liabilities Assumed</w:t>
            </w:r>
          </w:p>
        </w:tc>
      </w:tr>
      <w:tr w:rsidR="005740D1" w:rsidRPr="005740D1" w:rsidTr="005740D1">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vAlign w:val="center"/>
            <w:hideMark/>
          </w:tcPr>
          <w:p w:rsidR="005740D1" w:rsidRPr="005740D1" w:rsidRDefault="005740D1" w:rsidP="005740D1">
            <w:pPr>
              <w:spacing w:after="0" w:line="276" w:lineRule="auto"/>
              <w:jc w:val="right"/>
              <w:rPr>
                <w:rFonts w:ascii="Calibri" w:eastAsia="Times New Roman" w:hAnsi="Calibri" w:cs="Times New Roman"/>
              </w:rPr>
            </w:pPr>
            <w:r w:rsidRPr="005740D1">
              <w:rPr>
                <w:rFonts w:ascii="Times New Roman" w:eastAsia="Times New Roman" w:hAnsi="Times New Roman" w:cs="Times New Roman"/>
                <w:sz w:val="20"/>
                <w:szCs w:val="20"/>
              </w:rPr>
              <w:t>2,043,489</w:t>
            </w:r>
          </w:p>
        </w:tc>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Calibri" w:eastAsia="Times New Roman" w:hAnsi="Calibri" w:cs="Times New Roman"/>
              </w:rPr>
              <w:t> </w:t>
            </w:r>
          </w:p>
        </w:tc>
        <w:tc>
          <w:tcPr>
            <w:tcW w:w="0" w:type="auto"/>
            <w:vAlign w:val="center"/>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Net Assets Purchased</w:t>
            </w:r>
          </w:p>
        </w:tc>
      </w:tr>
      <w:tr w:rsidR="005740D1" w:rsidRPr="005740D1" w:rsidTr="005740D1">
        <w:tc>
          <w:tcPr>
            <w:tcW w:w="0" w:type="auto"/>
            <w:tcBorders>
              <w:bottom w:val="single" w:sz="8" w:space="0" w:color="000000"/>
            </w:tcBorders>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tcBorders>
              <w:bottom w:val="single" w:sz="8" w:space="0" w:color="000000"/>
            </w:tcBorders>
            <w:vAlign w:val="center"/>
            <w:hideMark/>
          </w:tcPr>
          <w:p w:rsidR="005740D1" w:rsidRPr="005740D1" w:rsidRDefault="005740D1" w:rsidP="005740D1">
            <w:pPr>
              <w:spacing w:after="0" w:line="276" w:lineRule="auto"/>
              <w:jc w:val="right"/>
              <w:rPr>
                <w:rFonts w:ascii="Calibri" w:eastAsia="Times New Roman" w:hAnsi="Calibri" w:cs="Times New Roman"/>
              </w:rPr>
            </w:pPr>
            <w:r w:rsidRPr="005740D1">
              <w:rPr>
                <w:rFonts w:ascii="Times New Roman" w:eastAsia="Times New Roman" w:hAnsi="Times New Roman" w:cs="Times New Roman"/>
                <w:sz w:val="20"/>
                <w:szCs w:val="20"/>
              </w:rPr>
              <w:t>2,389,200</w:t>
            </w:r>
          </w:p>
        </w:tc>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Calibri" w:eastAsia="Times New Roman" w:hAnsi="Calibri" w:cs="Times New Roman"/>
              </w:rPr>
              <w:t> </w:t>
            </w:r>
          </w:p>
        </w:tc>
        <w:tc>
          <w:tcPr>
            <w:tcW w:w="0" w:type="auto"/>
            <w:vAlign w:val="center"/>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Purchase Price</w:t>
            </w:r>
          </w:p>
        </w:tc>
      </w:tr>
      <w:tr w:rsidR="005740D1" w:rsidRPr="005740D1" w:rsidTr="005740D1">
        <w:tc>
          <w:tcPr>
            <w:tcW w:w="0" w:type="auto"/>
            <w:tcBorders>
              <w:bottom w:val="double" w:sz="6" w:space="0" w:color="000000"/>
            </w:tcBorders>
            <w:vAlign w:val="bottom"/>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w:t>
            </w:r>
          </w:p>
        </w:tc>
        <w:tc>
          <w:tcPr>
            <w:tcW w:w="0" w:type="auto"/>
            <w:tcBorders>
              <w:bottom w:val="double" w:sz="6" w:space="0" w:color="000000"/>
            </w:tcBorders>
            <w:vAlign w:val="center"/>
            <w:hideMark/>
          </w:tcPr>
          <w:p w:rsidR="005740D1" w:rsidRPr="005740D1" w:rsidRDefault="005740D1" w:rsidP="005740D1">
            <w:pPr>
              <w:spacing w:after="0" w:line="276" w:lineRule="auto"/>
              <w:jc w:val="right"/>
              <w:rPr>
                <w:rFonts w:ascii="Calibri" w:eastAsia="Times New Roman" w:hAnsi="Calibri" w:cs="Times New Roman"/>
              </w:rPr>
            </w:pPr>
            <w:r w:rsidRPr="005740D1">
              <w:rPr>
                <w:rFonts w:ascii="Times New Roman" w:eastAsia="Times New Roman" w:hAnsi="Times New Roman" w:cs="Times New Roman"/>
                <w:sz w:val="20"/>
                <w:szCs w:val="20"/>
              </w:rPr>
              <w:t>345,711</w:t>
            </w:r>
          </w:p>
        </w:tc>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Calibri" w:eastAsia="Times New Roman" w:hAnsi="Calibri" w:cs="Times New Roman"/>
              </w:rPr>
              <w:t> </w:t>
            </w:r>
          </w:p>
        </w:tc>
        <w:tc>
          <w:tcPr>
            <w:tcW w:w="0" w:type="auto"/>
            <w:vAlign w:val="center"/>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Goodwill from Purchase</w:t>
            </w:r>
          </w:p>
        </w:tc>
      </w:tr>
    </w:tbl>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Intangible asset detail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5760" w:type="dxa"/>
        <w:tblCellMar>
          <w:left w:w="0" w:type="dxa"/>
          <w:right w:w="0" w:type="dxa"/>
        </w:tblCellMar>
        <w:tblLook w:val="04A0" w:firstRow="1" w:lastRow="0" w:firstColumn="1" w:lastColumn="0" w:noHBand="0" w:noVBand="1"/>
      </w:tblPr>
      <w:tblGrid>
        <w:gridCol w:w="100"/>
        <w:gridCol w:w="854"/>
        <w:gridCol w:w="50"/>
        <w:gridCol w:w="50"/>
        <w:gridCol w:w="4706"/>
      </w:tblGrid>
      <w:tr w:rsidR="005740D1" w:rsidRPr="005740D1" w:rsidTr="005740D1">
        <w:tc>
          <w:tcPr>
            <w:tcW w:w="50" w:type="pct"/>
            <w:vAlign w:val="bottom"/>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w:t>
            </w:r>
          </w:p>
        </w:tc>
        <w:tc>
          <w:tcPr>
            <w:tcW w:w="500" w:type="pct"/>
            <w:vAlign w:val="center"/>
            <w:hideMark/>
          </w:tcPr>
          <w:p w:rsidR="005740D1" w:rsidRPr="005740D1" w:rsidRDefault="005740D1" w:rsidP="005740D1">
            <w:pPr>
              <w:spacing w:after="0" w:line="276" w:lineRule="auto"/>
              <w:jc w:val="right"/>
              <w:rPr>
                <w:rFonts w:ascii="Calibri" w:eastAsia="Times New Roman" w:hAnsi="Calibri" w:cs="Times New Roman"/>
              </w:rPr>
            </w:pPr>
            <w:r w:rsidRPr="005740D1">
              <w:rPr>
                <w:rFonts w:ascii="Times New Roman" w:eastAsia="Times New Roman" w:hAnsi="Times New Roman" w:cs="Times New Roman"/>
                <w:sz w:val="20"/>
                <w:szCs w:val="20"/>
              </w:rPr>
              <w:t>2,293,770</w:t>
            </w:r>
          </w:p>
        </w:tc>
        <w:tc>
          <w:tcPr>
            <w:tcW w:w="0" w:type="pct"/>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pct"/>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vAlign w:val="center"/>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Intangible Intellectual Property</w:t>
            </w:r>
          </w:p>
        </w:tc>
      </w:tr>
      <w:tr w:rsidR="005740D1" w:rsidRPr="005740D1" w:rsidTr="005740D1">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tcBorders>
              <w:bottom w:val="single" w:sz="8" w:space="0" w:color="000000"/>
            </w:tcBorders>
            <w:vAlign w:val="center"/>
            <w:hideMark/>
          </w:tcPr>
          <w:p w:rsidR="005740D1" w:rsidRPr="005740D1" w:rsidRDefault="005740D1" w:rsidP="005740D1">
            <w:pPr>
              <w:spacing w:after="0" w:line="276" w:lineRule="auto"/>
              <w:jc w:val="right"/>
              <w:rPr>
                <w:rFonts w:ascii="Calibri" w:eastAsia="Times New Roman" w:hAnsi="Calibri" w:cs="Times New Roman"/>
              </w:rPr>
            </w:pPr>
            <w:r w:rsidRPr="005740D1">
              <w:rPr>
                <w:rFonts w:ascii="Times New Roman" w:eastAsia="Times New Roman" w:hAnsi="Times New Roman" w:cs="Times New Roman"/>
                <w:sz w:val="20"/>
                <w:szCs w:val="20"/>
              </w:rPr>
              <w:t>345,711</w:t>
            </w:r>
          </w:p>
        </w:tc>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vAlign w:val="center"/>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Goodwill</w:t>
            </w:r>
          </w:p>
        </w:tc>
      </w:tr>
      <w:tr w:rsidR="005740D1" w:rsidRPr="005740D1" w:rsidTr="005740D1">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tcBorders>
              <w:bottom w:val="double" w:sz="6" w:space="0" w:color="000000"/>
            </w:tcBorders>
            <w:vAlign w:val="center"/>
            <w:hideMark/>
          </w:tcPr>
          <w:p w:rsidR="005740D1" w:rsidRPr="005740D1" w:rsidRDefault="005740D1" w:rsidP="005740D1">
            <w:pPr>
              <w:spacing w:after="0" w:line="276" w:lineRule="auto"/>
              <w:jc w:val="right"/>
              <w:rPr>
                <w:rFonts w:ascii="Calibri" w:eastAsia="Times New Roman" w:hAnsi="Calibri" w:cs="Times New Roman"/>
              </w:rPr>
            </w:pPr>
            <w:r w:rsidRPr="005740D1">
              <w:rPr>
                <w:rFonts w:ascii="Times New Roman" w:eastAsia="Times New Roman" w:hAnsi="Times New Roman" w:cs="Times New Roman"/>
                <w:sz w:val="20"/>
                <w:szCs w:val="20"/>
              </w:rPr>
              <w:t>2,639,481</w:t>
            </w:r>
          </w:p>
        </w:tc>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vAlign w:val="center"/>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Intangible Asset from Purchase</w:t>
            </w:r>
          </w:p>
        </w:tc>
      </w:tr>
    </w:tbl>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Under the 338(h)(10) election, intangibles related to the acquisition of LAT Pharma will be fully deductible for tax purposes.</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intangible intellectual property is amortized over 10 years.</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6480" w:type="dxa"/>
        <w:tblCellMar>
          <w:left w:w="0" w:type="dxa"/>
          <w:right w:w="0" w:type="dxa"/>
        </w:tblCellMar>
        <w:tblLook w:val="04A0" w:firstRow="1" w:lastRow="0" w:firstColumn="1" w:lastColumn="0" w:noHBand="0" w:noVBand="1"/>
      </w:tblPr>
      <w:tblGrid>
        <w:gridCol w:w="3610"/>
        <w:gridCol w:w="499"/>
        <w:gridCol w:w="100"/>
        <w:gridCol w:w="800"/>
        <w:gridCol w:w="50"/>
        <w:gridCol w:w="498"/>
        <w:gridCol w:w="101"/>
        <w:gridCol w:w="761"/>
        <w:gridCol w:w="61"/>
      </w:tblGrid>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rPr>
            </w:pPr>
            <w:r w:rsidRPr="005740D1">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December 2016</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December 2015</w:t>
            </w:r>
          </w:p>
        </w:tc>
      </w:tr>
      <w:tr w:rsidR="005740D1" w:rsidRPr="005740D1" w:rsidTr="005740D1">
        <w:tc>
          <w:tcPr>
            <w:tcW w:w="2800" w:type="pct"/>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Intangible Assets subject to Amortization</w:t>
            </w:r>
          </w:p>
        </w:tc>
        <w:tc>
          <w:tcPr>
            <w:tcW w:w="400" w:type="pct"/>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6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2,293,770</w:t>
            </w:r>
          </w:p>
        </w:tc>
        <w:tc>
          <w:tcPr>
            <w:tcW w:w="50" w:type="pct"/>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400" w:type="pct"/>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600" w:type="pct"/>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Amortization Expense in current year</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57,344</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Accumulated Amortization at year end</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165,724</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bl>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previous year amortization expense has been amortized for the period from April 11, 2016 to June 30, 2016. The estimated Amortization expense for each of the five succeeding fiscal years will be approximately $229,300 per year.</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lastRenderedPageBreak/>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-11-</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8. Stockholders’ Equity</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u w:val="single"/>
        </w:rPr>
        <w:t>Offering of Stock Options</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 connection with the employment agreement signed with the Chief Financial Officer on April 11, 2016, Jonathan Adams received options to acquire 3 million shares exercisable at $0.06 per share, the closing price on that date. These Options Group A shall become vested and exercisable (i) as to 1 million shares on April 11, 2017, (ii) as to 1 million shares on April 11, 2018, and (iii) as to 1 million shares on April 11, 2019.</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fair market value of the stock options is estimated using the Black Scholes valuation model and the Company uses the following methods to determine its underlying assumptions: expected volatilities are based on the historical volatilities of 3 comparable companies of the daily closing price of their respective common stock; the expected term of options granted is based on the average time outstanding method; and the risk free interest rate is based on the US Treasury bonds issued with similar life terms to the expected life of the grant.</w:t>
      </w:r>
    </w:p>
    <w:p w:rsidR="005740D1" w:rsidRPr="005740D1" w:rsidRDefault="005740D1" w:rsidP="005740D1">
      <w:pPr>
        <w:spacing w:after="0" w:line="240" w:lineRule="auto"/>
        <w:jc w:val="both"/>
        <w:rPr>
          <w:rFonts w:ascii="Calibri" w:eastAsia="Times New Roman" w:hAnsi="Calibri" w:cs="Times New Roman"/>
        </w:rPr>
      </w:pPr>
      <w:r w:rsidRPr="005740D1">
        <w:rPr>
          <w:rFonts w:ascii="Calibri" w:eastAsia="Times New Roman" w:hAnsi="Calibri" w:cs="Times New Roman"/>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following key assumptions were used in the valuation model to value stock option grants for each respective period:</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60"/>
        <w:gridCol w:w="453"/>
        <w:gridCol w:w="110"/>
        <w:gridCol w:w="1014"/>
        <w:gridCol w:w="266"/>
        <w:gridCol w:w="172"/>
        <w:gridCol w:w="1014"/>
        <w:gridCol w:w="359"/>
        <w:gridCol w:w="110"/>
        <w:gridCol w:w="1015"/>
        <w:gridCol w:w="177"/>
      </w:tblGrid>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Valuation Date</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4/11/2016</w:t>
            </w:r>
          </w:p>
        </w:tc>
        <w:tc>
          <w:tcPr>
            <w:tcW w:w="0" w:type="auto"/>
            <w:gridSpan w:val="3"/>
            <w:tcBorders>
              <w:top w:val="single" w:sz="8" w:space="0" w:color="000000"/>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4/11/2016</w:t>
            </w:r>
          </w:p>
        </w:tc>
        <w:tc>
          <w:tcPr>
            <w:tcW w:w="0" w:type="auto"/>
            <w:gridSpan w:val="3"/>
            <w:tcBorders>
              <w:top w:val="single" w:sz="8" w:space="0" w:color="000000"/>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4/11/2016</w:t>
            </w:r>
          </w:p>
        </w:tc>
      </w:tr>
      <w:tr w:rsidR="005740D1" w:rsidRPr="005740D1" w:rsidTr="005740D1">
        <w:tc>
          <w:tcPr>
            <w:tcW w:w="2500" w:type="pct"/>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Stock Price</w:t>
            </w:r>
          </w:p>
        </w:tc>
        <w:tc>
          <w:tcPr>
            <w:tcW w:w="250" w:type="pct"/>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tcBorders>
              <w:left w:val="single" w:sz="8" w:space="0" w:color="000000"/>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0.06</w:t>
            </w:r>
          </w:p>
        </w:tc>
        <w:tc>
          <w:tcPr>
            <w:tcW w:w="150" w:type="pct"/>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100" w:type="pct"/>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0.06</w:t>
            </w:r>
          </w:p>
        </w:tc>
        <w:tc>
          <w:tcPr>
            <w:tcW w:w="200" w:type="pct"/>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0.06</w:t>
            </w:r>
          </w:p>
        </w:tc>
        <w:tc>
          <w:tcPr>
            <w:tcW w:w="50" w:type="pct"/>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Exercise Price</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Term (expected term for options)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Volatility</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56.49</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58.45</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97.82</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Annual Rate of Quarterly Dividends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Discount Rate - Bond Equivalent Yield</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0.53</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0.70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0.85</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Call Option Value ($Millions)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left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0.01</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0.02</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0.04</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Fair Value</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left w:val="single" w:sz="8" w:space="0" w:color="000000"/>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13,467</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19,523</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36,489</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r>
    </w:tbl>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Company issued stock options to consultants and board of directors for services provided to the company. The following key assumptions were used in the valuation model to value stock option grants for each respective period:</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701"/>
        <w:gridCol w:w="465"/>
        <w:gridCol w:w="111"/>
        <w:gridCol w:w="1119"/>
        <w:gridCol w:w="278"/>
        <w:gridCol w:w="184"/>
        <w:gridCol w:w="1120"/>
        <w:gridCol w:w="372"/>
      </w:tblGrid>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Valuation Date</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11/16/2016</w:t>
            </w:r>
          </w:p>
        </w:tc>
        <w:tc>
          <w:tcPr>
            <w:tcW w:w="0" w:type="auto"/>
            <w:gridSpan w:val="3"/>
            <w:tcBorders>
              <w:top w:val="single" w:sz="8" w:space="0" w:color="000000"/>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12/18/2016</w:t>
            </w:r>
          </w:p>
        </w:tc>
      </w:tr>
      <w:tr w:rsidR="005740D1" w:rsidRPr="005740D1" w:rsidTr="005740D1">
        <w:tc>
          <w:tcPr>
            <w:tcW w:w="3050" w:type="pct"/>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Stock Price</w:t>
            </w:r>
          </w:p>
        </w:tc>
        <w:tc>
          <w:tcPr>
            <w:tcW w:w="250" w:type="pct"/>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50" w:type="pct"/>
            <w:tcBorders>
              <w:left w:val="single" w:sz="8" w:space="0" w:color="000000"/>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600" w:type="pct"/>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0.25</w:t>
            </w:r>
          </w:p>
        </w:tc>
        <w:tc>
          <w:tcPr>
            <w:tcW w:w="150" w:type="pct"/>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100" w:type="pct"/>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600" w:type="pct"/>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0.21</w:t>
            </w:r>
          </w:p>
        </w:tc>
        <w:tc>
          <w:tcPr>
            <w:tcW w:w="200" w:type="pct"/>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Exercise Price</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0.25</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0.21</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Term (expected term for options)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Volatility</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43.12</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43.12</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Annual Rate of Quarterly Dividends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Discount Rate - Bond Equivalent Yield</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1.02</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1.15</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Call Option Value ($Millions)</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left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0.06</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0.05</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r>
      <w:tr w:rsidR="005740D1" w:rsidRPr="005740D1" w:rsidTr="005740D1">
        <w:tc>
          <w:tcPr>
            <w:tcW w:w="0" w:type="auto"/>
            <w:tcMar>
              <w:top w:w="0" w:type="dxa"/>
              <w:left w:w="108"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Fair Value</w:t>
            </w:r>
          </w:p>
        </w:tc>
        <w:tc>
          <w:tcPr>
            <w:tcW w:w="0" w:type="auto"/>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left w:val="single" w:sz="8" w:space="0" w:color="000000"/>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30,919</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5740D1" w:rsidRPr="005740D1" w:rsidRDefault="005740D1" w:rsidP="005740D1">
            <w:pPr>
              <w:spacing w:after="0" w:line="240" w:lineRule="auto"/>
              <w:jc w:val="right"/>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15,646</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r>
    </w:tbl>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-12-</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Stock option transactions under the Company’s plans for the years ended December 31st, 2016 is summarized below:</w:t>
      </w:r>
    </w:p>
    <w:p w:rsidR="005740D1" w:rsidRPr="005740D1" w:rsidRDefault="005740D1" w:rsidP="005740D1">
      <w:pPr>
        <w:spacing w:after="0" w:line="240" w:lineRule="auto"/>
        <w:jc w:val="center"/>
        <w:rPr>
          <w:rFonts w:ascii="Calibri" w:eastAsia="Times New Roman" w:hAnsi="Calibri" w:cs="Times New Roman"/>
        </w:rPr>
      </w:pPr>
      <w:r w:rsidRPr="005740D1">
        <w:rPr>
          <w:rFonts w:ascii="Calibri" w:eastAsia="Times New Roman" w:hAnsi="Calibri" w:cs="Times New Roman"/>
        </w:rPr>
        <w:t> </w:t>
      </w:r>
    </w:p>
    <w:tbl>
      <w:tblPr>
        <w:tblW w:w="5000" w:type="pct"/>
        <w:tblCellMar>
          <w:left w:w="0" w:type="dxa"/>
          <w:right w:w="0" w:type="dxa"/>
        </w:tblCellMar>
        <w:tblLook w:val="04A0" w:firstRow="1" w:lastRow="0" w:firstColumn="1" w:lastColumn="0" w:noHBand="0" w:noVBand="1"/>
      </w:tblPr>
      <w:tblGrid>
        <w:gridCol w:w="3743"/>
        <w:gridCol w:w="1403"/>
        <w:gridCol w:w="1403"/>
        <w:gridCol w:w="1403"/>
        <w:gridCol w:w="1403"/>
      </w:tblGrid>
      <w:tr w:rsidR="005740D1" w:rsidRPr="005740D1" w:rsidTr="005740D1">
        <w:tc>
          <w:tcPr>
            <w:tcW w:w="2000" w:type="pct"/>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750" w:type="pct"/>
            <w:tcBorders>
              <w:top w:val="single" w:sz="4" w:space="0" w:color="000000"/>
              <w:left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750" w:type="pct"/>
            <w:tcBorders>
              <w:top w:val="single" w:sz="4" w:space="0" w:color="000000"/>
              <w:left w:val="nil"/>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750" w:type="pct"/>
            <w:tcBorders>
              <w:top w:val="single" w:sz="4" w:space="0" w:color="000000"/>
              <w:left w:val="nil"/>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Weighted </w:t>
            </w:r>
          </w:p>
        </w:tc>
        <w:tc>
          <w:tcPr>
            <w:tcW w:w="750" w:type="pct"/>
            <w:tcBorders>
              <w:top w:val="single" w:sz="4" w:space="0" w:color="000000"/>
              <w:left w:val="nil"/>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left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left w:val="nil"/>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Weighed-</w:t>
            </w:r>
          </w:p>
        </w:tc>
        <w:tc>
          <w:tcPr>
            <w:tcW w:w="0" w:type="auto"/>
            <w:tcBorders>
              <w:left w:val="nil"/>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Average</w:t>
            </w:r>
          </w:p>
        </w:tc>
        <w:tc>
          <w:tcPr>
            <w:tcW w:w="0" w:type="auto"/>
            <w:tcBorders>
              <w:left w:val="nil"/>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Aggregate</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left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left w:val="nil"/>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Average</w:t>
            </w:r>
          </w:p>
        </w:tc>
        <w:tc>
          <w:tcPr>
            <w:tcW w:w="0" w:type="auto"/>
            <w:tcBorders>
              <w:left w:val="nil"/>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Remaining</w:t>
            </w:r>
          </w:p>
        </w:tc>
        <w:tc>
          <w:tcPr>
            <w:tcW w:w="0" w:type="auto"/>
            <w:tcBorders>
              <w:left w:val="nil"/>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Intrinsic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 </w:t>
            </w:r>
          </w:p>
        </w:tc>
        <w:tc>
          <w:tcPr>
            <w:tcW w:w="0" w:type="auto"/>
            <w:tcBorders>
              <w:left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Shares</w:t>
            </w:r>
          </w:p>
        </w:tc>
        <w:tc>
          <w:tcPr>
            <w:tcW w:w="0" w:type="auto"/>
            <w:tcBorders>
              <w:left w:val="nil"/>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Exercise</w:t>
            </w:r>
          </w:p>
        </w:tc>
        <w:tc>
          <w:tcPr>
            <w:tcW w:w="0" w:type="auto"/>
            <w:tcBorders>
              <w:left w:val="nil"/>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Contractual</w:t>
            </w:r>
          </w:p>
        </w:tc>
        <w:tc>
          <w:tcPr>
            <w:tcW w:w="0" w:type="auto"/>
            <w:tcBorders>
              <w:left w:val="nil"/>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Value </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Options</w:t>
            </w:r>
          </w:p>
        </w:tc>
        <w:tc>
          <w:tcPr>
            <w:tcW w:w="0" w:type="auto"/>
            <w:tcBorders>
              <w:left w:val="single" w:sz="4" w:space="0" w:color="000000"/>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(Thousands)</w:t>
            </w:r>
          </w:p>
        </w:tc>
        <w:tc>
          <w:tcPr>
            <w:tcW w:w="0" w:type="auto"/>
            <w:tcBorders>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Price</w:t>
            </w:r>
          </w:p>
        </w:tc>
        <w:tc>
          <w:tcPr>
            <w:tcW w:w="0" w:type="auto"/>
            <w:tcBorders>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Term</w:t>
            </w:r>
          </w:p>
        </w:tc>
        <w:tc>
          <w:tcPr>
            <w:tcW w:w="0" w:type="auto"/>
            <w:tcBorders>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b/>
                <w:bCs/>
                <w:sz w:val="20"/>
                <w:szCs w:val="20"/>
              </w:rPr>
            </w:pPr>
            <w:r w:rsidRPr="005740D1">
              <w:rPr>
                <w:rFonts w:ascii="Times New Roman" w:eastAsia="Times New Roman" w:hAnsi="Times New Roman" w:cs="Times New Roman"/>
                <w:b/>
                <w:bCs/>
                <w:sz w:val="20"/>
                <w:szCs w:val="20"/>
              </w:rPr>
              <w:t>(Thousands)</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Outstanding at June 30, 2016</w:t>
            </w:r>
          </w:p>
        </w:tc>
        <w:tc>
          <w:tcPr>
            <w:tcW w:w="0" w:type="auto"/>
            <w:tcBorders>
              <w:top w:val="nil"/>
              <w:left w:val="single" w:sz="4" w:space="0" w:color="000000"/>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3,000</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0.06</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Granted </w:t>
            </w:r>
          </w:p>
        </w:tc>
        <w:tc>
          <w:tcPr>
            <w:tcW w:w="0" w:type="auto"/>
            <w:tcBorders>
              <w:top w:val="nil"/>
              <w:left w:val="single" w:sz="4" w:space="0" w:color="000000"/>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Exercised </w:t>
            </w:r>
          </w:p>
        </w:tc>
        <w:tc>
          <w:tcPr>
            <w:tcW w:w="0" w:type="auto"/>
            <w:tcBorders>
              <w:top w:val="nil"/>
              <w:left w:val="single" w:sz="4" w:space="0" w:color="000000"/>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Forfeited</w:t>
            </w:r>
          </w:p>
        </w:tc>
        <w:tc>
          <w:tcPr>
            <w:tcW w:w="0" w:type="auto"/>
            <w:tcBorders>
              <w:top w:val="nil"/>
              <w:left w:val="single" w:sz="4" w:space="0" w:color="000000"/>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Outstanding at September 30, 2016</w:t>
            </w:r>
          </w:p>
        </w:tc>
        <w:tc>
          <w:tcPr>
            <w:tcW w:w="0" w:type="auto"/>
            <w:tcBorders>
              <w:top w:val="nil"/>
              <w:left w:val="single" w:sz="4" w:space="0" w:color="000000"/>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3,000</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0.06</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Granted</w:t>
            </w:r>
          </w:p>
        </w:tc>
        <w:tc>
          <w:tcPr>
            <w:tcW w:w="0" w:type="auto"/>
            <w:tcBorders>
              <w:top w:val="nil"/>
              <w:left w:val="single" w:sz="4" w:space="0" w:color="000000"/>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800</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0.24</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Exercised</w:t>
            </w:r>
          </w:p>
        </w:tc>
        <w:tc>
          <w:tcPr>
            <w:tcW w:w="0" w:type="auto"/>
            <w:tcBorders>
              <w:top w:val="nil"/>
              <w:left w:val="single" w:sz="4" w:space="0" w:color="000000"/>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Forfeited</w:t>
            </w:r>
          </w:p>
        </w:tc>
        <w:tc>
          <w:tcPr>
            <w:tcW w:w="0" w:type="auto"/>
            <w:tcBorders>
              <w:top w:val="nil"/>
              <w:left w:val="single" w:sz="4" w:space="0" w:color="000000"/>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r w:rsidR="005740D1" w:rsidRPr="005740D1" w:rsidTr="005740D1">
        <w:tc>
          <w:tcPr>
            <w:tcW w:w="0" w:type="auto"/>
            <w:vAlign w:val="bottom"/>
            <w:hideMark/>
          </w:tcPr>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Outstanding at December 31, 2016</w:t>
            </w:r>
          </w:p>
        </w:tc>
        <w:tc>
          <w:tcPr>
            <w:tcW w:w="0" w:type="auto"/>
            <w:tcBorders>
              <w:top w:val="nil"/>
              <w:left w:val="single" w:sz="4" w:space="0" w:color="000000"/>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3,800</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0.10</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bottom"/>
            <w:hideMark/>
          </w:tcPr>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t>
            </w:r>
          </w:p>
        </w:tc>
      </w:tr>
    </w:tbl>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compensation expense includes $8,848 related to the stock options described above. The Legal and Professional fee includes $2,416 related to the stock options described above.</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u w:val="single"/>
        </w:rPr>
        <w:t>Offerings of Common Stock and Warrants</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 September 2016, the Company sold and issued an aggregate of 49,999 shares of common stock in a private placement transaction for aggregate gross proceeds of approximately $5,000. The purchase price for the common stock was $0.10 per share.</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 October 2016, the Company sold and issued an aggregate of 225,000 shares of common stock and warrants to purchase 112,500 shares of common stock in a private placement transaction for aggregate gross proceeds of approximately $45,000. The purchase price for the common stock and warrants was $0.20 per unit. The warrants are exercisable at an exercise price of $0.50 at any time from date of issuance until 5 years from the date of issuance.</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 November 2016, the Company sold and issued an aggregate of 250,000 shares of common stock and warrants to purchase 125,000 shares of common stock in a private placement transaction for aggregate gross proceeds of approximately $50,000. The purchase price for the common stock and warrants was $0.20 per unit. The warrants are exercisable at an exercise price of $0.50 at any time from date of issuance until 5 years from the date of issuance.</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-13-</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9. Subsequent Event</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Subsequent to December 31, 2016, the Company sold and issued an aggregate of 100,000 shares of common stock and warrants to purchase 50,000 shares of common stock in a private placement transaction for aggregate gross proceeds of approximately $20,000. The purchase price for the common stock and warrants was $0.20 per unit. The warrants are exercisable at an exercise price of $0.50 at any time from date of issuance until 5 years from the date of issuance.</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On January 4, 2017, the Company, entered into a common stock purchase agreement (the “Purchase Agreement”) with Aspire Capital Fund, LLC, an Illinois limited liability company (“Aspire Capital”) which provides that, on the terms and subject to the conditions and limitations set forth therein, Aspire Capital is committed to purchase up to an aggregate of $12.0 million of shares of the Company’s common stock over the 30-month term of the Purchase Agreement. On execution of the Purchase Agreement, the Company agreed to sell to Aspire Capital 1,000,000 shares of common stock and warrants to purchase 500,000 shares of common stock for proceeds of $200,000. The Warrant Shares will each have a five-year term and will be exercisable at $0.50 per share. Concurrently with entering into the Purchase Agreement, the Company also entered into a registration rights agreement with Aspire Capital (the “Registration Rights Agreement”), in which the Company agreed to file one or more registration statements, as permissible and necessary to register under the Securities Act of 1933, as amended (the “Securities Act”), registering the sale of the shares of the Company’s common stock that have been and may be issued to Aspire Capital under the Purchase Agreement.</w:t>
      </w:r>
    </w:p>
    <w:p w:rsidR="005740D1" w:rsidRPr="005740D1" w:rsidRDefault="005740D1" w:rsidP="005740D1">
      <w:pPr>
        <w:spacing w:after="0" w:line="240" w:lineRule="auto"/>
        <w:ind w:firstLine="720"/>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Under the Purchase agreement, after the Securities and Exchange Commission (the “SEC”) has declared effective the registration statement referred to above, on any trading day selected by the Company, the Company has the right, in its sole discretion, to present Aspire Capital with a purchase notice (each, a “Purchase Notice”), directing Aspire Capital (as principal) to purchase up to 100,000 shares of the Company’s common stock per business day, up to $12.0 million of the Company’s common stock in the aggregate at a per share price (the “Purchase Price”) equal to the lesser of:</w:t>
      </w:r>
    </w:p>
    <w:p w:rsidR="005740D1" w:rsidRPr="005740D1" w:rsidRDefault="005740D1" w:rsidP="005740D1">
      <w:pPr>
        <w:spacing w:after="0" w:line="240" w:lineRule="auto"/>
        <w:ind w:firstLine="720"/>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numPr>
          <w:ilvl w:val="0"/>
          <w:numId w:val="1"/>
        </w:num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lowest sale price of the Company’s common stock on the purchase date; or</w:t>
      </w:r>
    </w:p>
    <w:p w:rsidR="005740D1" w:rsidRPr="005740D1" w:rsidRDefault="005740D1" w:rsidP="005740D1">
      <w:pPr>
        <w:numPr>
          <w:ilvl w:val="0"/>
          <w:numId w:val="1"/>
        </w:num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arithmetic average of the three (3) lowest closing sale prices for the Company’s common stock during the twelve (12) consecutive trading days ending on the trading day immediately preceding the purchase date.</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In addition, on any date on which the Company submits a Purchase Notice to Aspire Capital in an amount equal to 100,000 shares and the closing sale price of our stock is equal to or greater than $0.30 per share, the Company also has the right, in its sole discretion, to present Aspire Capital with a volume-weighted average price purchase notice (each, a “VWAP Purchase Notice”) directing Aspire Capital to purchase an amount of stock equal to up to 30% of the aggregate shares of the Company’s common stock traded on its principal market on the next trading day (the “VWAP Purchase Date”), subject to a maximum number of shares the Company may determine. The purchase price per share pursuant to such VWAP Purchase Notice is generally 95% of the volume-weighted average price for the Company’s common stock traded on its principal market on the VWAP Purchase Date.</w:t>
      </w:r>
    </w:p>
    <w:p w:rsidR="005740D1" w:rsidRPr="005740D1" w:rsidRDefault="005740D1" w:rsidP="005740D1">
      <w:pPr>
        <w:spacing w:after="0" w:line="240" w:lineRule="auto"/>
        <w:ind w:firstLine="720"/>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Purchase Price will be adjusted for any reorganization, recapitalization, non-cash dividend, stock split, or other similar transaction occurring during the period(s) used to compute the Purchase Price. The Company may deliver multiple Purchase Notices and VWAP Purchase Notices to Aspire Capital from time to time during the term of the Purchase Agreement, so long as the most recent purchase has been completed.</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-14-</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Purchase Agreement provides that the Company and Aspire Capital shall not effect any sales under the Purchase Agreement on any purchase date where the closing sale price of the Company’s common stock is less than $0.10. There are no trading volume requirements or restrictions under the Purchase Agreement, and the Company will control the timing and amount of sales of the Company’s common stock to Aspire Capital. Aspire Capital has no right to require any sales by the Company, but is obligated to make purchases from the Company as directed by the Company in accordance with the Purchase Agreement. There are no limitations on use of proceeds, financial or business covenants, restrictions on future fundings, rights of first refusal, participation rights, penalties or liquidated damages in the Purchase Agreement. In consideration for entering into the Purchase Agreement, concurrently with the execution of the Purchase Agreement, the Company issued to Aspire Capital 2,400,000 shares of the Company’s common stock (the “Commitment Shares”). The Purchase Agreement may be terminated by the Company at any time, at its discretion, without any cost to the Company. Aspire Capital has agreed that neither it nor any of its agents, representatives and affiliates shall engage in any direct or indirect short-selling or hedging of the Company’s common stock during any time prior to the termination of the Purchase Agreement. Any proceeds that the Company receives under the Purchase Agreement are expected to be used for working capital and general corporate purposes.</w:t>
      </w:r>
    </w:p>
    <w:p w:rsidR="005740D1" w:rsidRPr="005740D1" w:rsidRDefault="005740D1" w:rsidP="005740D1">
      <w:pPr>
        <w:spacing w:after="0" w:line="240" w:lineRule="auto"/>
        <w:ind w:firstLine="720"/>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-15-</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bookmarkStart w:id="8" w:name="a_003"/>
      <w:bookmarkEnd w:id="8"/>
      <w:r w:rsidRPr="005740D1">
        <w:rPr>
          <w:rFonts w:ascii="Times New Roman" w:eastAsia="Times New Roman" w:hAnsi="Times New Roman" w:cs="Times New Roman"/>
          <w:b/>
          <w:bCs/>
          <w:sz w:val="20"/>
          <w:szCs w:val="20"/>
        </w:rPr>
        <w:t>Item 2. Management’s Discussion and Analysis of Financial Condition and Results of Operations</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“BioVie”, “Company”, “we”, “our”, and “us” refer to BioVie Inc.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-16-</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We are a development stage biotechnology company engaged in the discovery, development and commercialization of a therapy targeting ascites due to liver cirrhosis. Ascites due to liver cirrhosis is a life-threatening condition affecting about 100,000 Americans and many times more worldwide. Our therapy BIV201 is based on a drug that is approved in about 50 countries to treat related complications of liver cirrhosis (part of the same disease pathway as ascites), but not yet available in the US. BIV201’s active agent is a potent vasoconstrictor and has shown efficacy for reducing portal hypertension in studies around the world. The goal is for BIV201 to interrupt the ascites disease pathway, thereby halting the cycle of accelerating fluid generation in ascites patients. We are currently completing the work necessary to file our investigational new drug (IND) application, and aim to commence clinical trials should the FDA approve our application. The Company’s activities are subject to significant risks and uncertainties including failure to secure additional funding to properly execute the company’s business plan.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We have incurred $357,799 of operating expenses for the quarter ended December 31, 2016.  We are now engaged in organizational activities and sourcing compounds and materials. We anticipate incurring other costs associated with equipment purchases and general and administrative expenses, including employee salaries and benefits, legal expenses, and other costs associated with an early stage, publicly-traded company.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amounts that we actually spend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however, we do not have plans for any acquisitions at this time. We will have significant discretion in the use of any net proceeds. Investors will be relying on the judgment of our management regarding the application of the proceeds of any sale of our Common Stock.</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Requirement for Additional Capital</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Company has engaged in limited research and development activities. We currently do not have sufficient funds to meet our planned drug development for the next twelve (12) months and we may not be able to obtain the necessary financing on terms and conditions acceptable to the Company. Assuming that we are successful in raising additional financing, we plan to incur the following expenses over the next twelve (12) months: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740D1" w:rsidRPr="005740D1" w:rsidTr="005740D1">
        <w:tc>
          <w:tcPr>
            <w:tcW w:w="100" w:type="pct"/>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w:t>
            </w:r>
          </w:p>
        </w:tc>
        <w:tc>
          <w:tcPr>
            <w:tcW w:w="4900" w:type="pct"/>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Research and Development of $45,000, which includes planned costs for the development of BIV201.</w:t>
            </w:r>
          </w:p>
        </w:tc>
      </w:tr>
      <w:tr w:rsidR="005740D1" w:rsidRPr="005740D1" w:rsidTr="005740D1">
        <w:tc>
          <w:tcPr>
            <w:tcW w:w="0" w:type="auto"/>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w:t>
            </w:r>
          </w:p>
        </w:tc>
        <w:tc>
          <w:tcPr>
            <w:tcW w:w="0" w:type="auto"/>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Corporate overhead of $15,000, which includes budgeted legal, accounting and other costs expected to be incurred; and</w:t>
            </w:r>
          </w:p>
        </w:tc>
      </w:tr>
      <w:tr w:rsidR="005740D1" w:rsidRPr="005740D1" w:rsidTr="005740D1">
        <w:tc>
          <w:tcPr>
            <w:tcW w:w="0" w:type="auto"/>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w:t>
            </w:r>
          </w:p>
        </w:tc>
        <w:tc>
          <w:tcPr>
            <w:tcW w:w="0" w:type="auto"/>
            <w:hideMark/>
          </w:tcPr>
          <w:p w:rsidR="005740D1" w:rsidRPr="005740D1" w:rsidRDefault="005740D1" w:rsidP="005740D1">
            <w:pPr>
              <w:spacing w:after="0" w:line="276" w:lineRule="auto"/>
              <w:jc w:val="both"/>
              <w:rPr>
                <w:rFonts w:ascii="Calibri" w:eastAsia="Times New Roman" w:hAnsi="Calibri" w:cs="Times New Roman"/>
              </w:rPr>
            </w:pPr>
            <w:r w:rsidRPr="005740D1">
              <w:rPr>
                <w:rFonts w:ascii="Times New Roman" w:eastAsia="Times New Roman" w:hAnsi="Times New Roman" w:cs="Times New Roman"/>
                <w:sz w:val="20"/>
                <w:szCs w:val="20"/>
              </w:rPr>
              <w:t>Staffing costs of $250,000.</w:t>
            </w:r>
          </w:p>
        </w:tc>
      </w:tr>
    </w:tbl>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Company had approximately $4,519 of cash on hand at December 31, 2016 and will be unable to proceed with its planned drug development, meet its administrative expense requirements, capital costs, or staffing costs without obtaining additional net financing of approximately $250,000 to $500,000 to meet its near-term budgetary needs.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Company has limited experience with pharmaceutical drug development. As such these budget estimates may not be accurate. In addition, the actual work to be performed can only be broadly projected, as is normal with any scientific work. As further work is performed, additional work may become necessary or change in plans or workload may occur. Such changes may have an adverse impact on our estimated budget. Such changes may also have an adverse impact on our projected timeline of drug development.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-17-</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Capital Resources and Liquidity</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As of December 31, 2016, we had $4,519 of cash on hand in our corporate bank account. The Company is considered to be a development stage company and will continue in the development stage until generating revenues from the sales of its products or services. As a result, the report of the independent registered public accounting firm on our financial statements as of June 30, 2016, contains an explanatory paragraph regarding a substantial doubt about our ability to continue as a going concern.</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We do not have sufficient funds for the next (12) twelve months and must raise cash to implement our strategy and stay in business. If we are unable to raise additional funds to develop our compounds, we may be required to scale back our development plans by reducing expenditures for employees, consultants, business development, and other envisioned expenditures. This could reduce our ability to develop BIV201, our drug candidate, and implement our business plan. In that event, investors should anticipate that their entire investment may be lost and there may be no ability to profit from this investment.</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We cannot assure you that our drug candidate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If we are unable to raise additional funds, we will need to do one or more of the following</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4"/>
        <w:gridCol w:w="9266"/>
      </w:tblGrid>
      <w:tr w:rsidR="005740D1" w:rsidRPr="005740D1" w:rsidTr="005740D1">
        <w:tc>
          <w:tcPr>
            <w:tcW w:w="50" w:type="pct"/>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4950" w:type="pct"/>
            <w:tcMar>
              <w:top w:w="0" w:type="dxa"/>
              <w:left w:w="720" w:type="dxa"/>
              <w:bottom w:w="0" w:type="dxa"/>
              <w:right w:w="0" w:type="dxa"/>
            </w:tcMar>
            <w:hideMark/>
          </w:tcPr>
          <w:p w:rsidR="005740D1" w:rsidRPr="005740D1" w:rsidRDefault="005740D1" w:rsidP="005740D1">
            <w:pPr>
              <w:spacing w:after="0" w:line="276" w:lineRule="auto"/>
              <w:ind w:hanging="360"/>
              <w:rPr>
                <w:rFonts w:ascii="Calibri" w:eastAsia="Times New Roman" w:hAnsi="Calibri" w:cs="Times New Roman"/>
              </w:rPr>
            </w:pPr>
            <w:r w:rsidRPr="005740D1">
              <w:rPr>
                <w:rFonts w:ascii="Symbol" w:eastAsia="Times New Roman" w:hAnsi="Symbol" w:cs="Times New Roman"/>
                <w:sz w:val="20"/>
                <w:szCs w:val="20"/>
              </w:rPr>
              <w:t></w:t>
            </w:r>
            <w:r w:rsidRPr="005740D1">
              <w:rPr>
                <w:rFonts w:ascii="Times New Roman" w:eastAsia="Times New Roman" w:hAnsi="Times New Roman" w:cs="Times New Roman"/>
                <w:sz w:val="14"/>
                <w:szCs w:val="14"/>
              </w:rPr>
              <w:t xml:space="preserve">         </w:t>
            </w:r>
            <w:r w:rsidRPr="005740D1">
              <w:rPr>
                <w:rFonts w:ascii="Times New Roman" w:eastAsia="Times New Roman" w:hAnsi="Times New Roman" w:cs="Times New Roman"/>
                <w:sz w:val="20"/>
                <w:szCs w:val="20"/>
              </w:rPr>
              <w:t>delay, scale-back or eliminate some or all of our research and product development programs;</w:t>
            </w:r>
          </w:p>
        </w:tc>
      </w:tr>
      <w:tr w:rsidR="005740D1" w:rsidRPr="005740D1" w:rsidTr="005740D1">
        <w:tc>
          <w:tcPr>
            <w:tcW w:w="0" w:type="auto"/>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tcMar>
              <w:top w:w="0" w:type="dxa"/>
              <w:left w:w="720" w:type="dxa"/>
              <w:bottom w:w="0" w:type="dxa"/>
              <w:right w:w="0" w:type="dxa"/>
            </w:tcMar>
            <w:hideMark/>
          </w:tcPr>
          <w:p w:rsidR="005740D1" w:rsidRPr="005740D1" w:rsidRDefault="005740D1" w:rsidP="005740D1">
            <w:pPr>
              <w:spacing w:after="0" w:line="276" w:lineRule="auto"/>
              <w:ind w:hanging="360"/>
              <w:rPr>
                <w:rFonts w:ascii="Calibri" w:eastAsia="Times New Roman" w:hAnsi="Calibri" w:cs="Times New Roman"/>
              </w:rPr>
            </w:pPr>
            <w:r w:rsidRPr="005740D1">
              <w:rPr>
                <w:rFonts w:ascii="Symbol" w:eastAsia="Times New Roman" w:hAnsi="Symbol" w:cs="Times New Roman"/>
                <w:sz w:val="20"/>
                <w:szCs w:val="20"/>
              </w:rPr>
              <w:t></w:t>
            </w:r>
            <w:r w:rsidRPr="005740D1">
              <w:rPr>
                <w:rFonts w:ascii="Times New Roman" w:eastAsia="Times New Roman" w:hAnsi="Times New Roman" w:cs="Times New Roman"/>
                <w:sz w:val="14"/>
                <w:szCs w:val="14"/>
              </w:rPr>
              <w:t xml:space="preserve">         </w:t>
            </w:r>
            <w:r w:rsidRPr="005740D1">
              <w:rPr>
                <w:rFonts w:ascii="Times New Roman" w:eastAsia="Times New Roman" w:hAnsi="Times New Roman" w:cs="Times New Roman"/>
                <w:sz w:val="20"/>
                <w:szCs w:val="20"/>
              </w:rPr>
              <w:t>provide licenses to third parties to develop and commercialize products or technologies that we would otherwise seek to develop and commercialize ourselves;</w:t>
            </w:r>
          </w:p>
        </w:tc>
      </w:tr>
      <w:tr w:rsidR="005740D1" w:rsidRPr="005740D1" w:rsidTr="005740D1">
        <w:tc>
          <w:tcPr>
            <w:tcW w:w="0" w:type="auto"/>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tcMar>
              <w:top w:w="0" w:type="dxa"/>
              <w:left w:w="720" w:type="dxa"/>
              <w:bottom w:w="0" w:type="dxa"/>
              <w:right w:w="0" w:type="dxa"/>
            </w:tcMar>
            <w:hideMark/>
          </w:tcPr>
          <w:p w:rsidR="005740D1" w:rsidRPr="005740D1" w:rsidRDefault="005740D1" w:rsidP="005740D1">
            <w:pPr>
              <w:spacing w:after="0" w:line="276" w:lineRule="auto"/>
              <w:ind w:hanging="360"/>
              <w:rPr>
                <w:rFonts w:ascii="Calibri" w:eastAsia="Times New Roman" w:hAnsi="Calibri" w:cs="Times New Roman"/>
              </w:rPr>
            </w:pPr>
            <w:r w:rsidRPr="005740D1">
              <w:rPr>
                <w:rFonts w:ascii="Symbol" w:eastAsia="Times New Roman" w:hAnsi="Symbol" w:cs="Times New Roman"/>
                <w:sz w:val="20"/>
                <w:szCs w:val="20"/>
              </w:rPr>
              <w:t></w:t>
            </w:r>
            <w:r w:rsidRPr="005740D1">
              <w:rPr>
                <w:rFonts w:ascii="Times New Roman" w:eastAsia="Times New Roman" w:hAnsi="Times New Roman" w:cs="Times New Roman"/>
                <w:sz w:val="14"/>
                <w:szCs w:val="14"/>
              </w:rPr>
              <w:t xml:space="preserve">         </w:t>
            </w:r>
            <w:r w:rsidRPr="005740D1">
              <w:rPr>
                <w:rFonts w:ascii="Times New Roman" w:eastAsia="Times New Roman" w:hAnsi="Times New Roman" w:cs="Times New Roman"/>
                <w:sz w:val="20"/>
                <w:szCs w:val="20"/>
              </w:rPr>
              <w:t>seek strategic alliances or business combinations;</w:t>
            </w:r>
          </w:p>
        </w:tc>
      </w:tr>
      <w:tr w:rsidR="005740D1" w:rsidRPr="005740D1" w:rsidTr="005740D1">
        <w:tc>
          <w:tcPr>
            <w:tcW w:w="0" w:type="auto"/>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tcMar>
              <w:top w:w="0" w:type="dxa"/>
              <w:left w:w="720" w:type="dxa"/>
              <w:bottom w:w="0" w:type="dxa"/>
              <w:right w:w="0" w:type="dxa"/>
            </w:tcMar>
            <w:hideMark/>
          </w:tcPr>
          <w:p w:rsidR="005740D1" w:rsidRPr="005740D1" w:rsidRDefault="005740D1" w:rsidP="005740D1">
            <w:pPr>
              <w:spacing w:after="0" w:line="276" w:lineRule="auto"/>
              <w:ind w:hanging="360"/>
              <w:rPr>
                <w:rFonts w:ascii="Calibri" w:eastAsia="Times New Roman" w:hAnsi="Calibri" w:cs="Times New Roman"/>
              </w:rPr>
            </w:pPr>
            <w:r w:rsidRPr="005740D1">
              <w:rPr>
                <w:rFonts w:ascii="Symbol" w:eastAsia="Times New Roman" w:hAnsi="Symbol" w:cs="Times New Roman"/>
                <w:sz w:val="20"/>
                <w:szCs w:val="20"/>
              </w:rPr>
              <w:t></w:t>
            </w:r>
            <w:r w:rsidRPr="005740D1">
              <w:rPr>
                <w:rFonts w:ascii="Times New Roman" w:eastAsia="Times New Roman" w:hAnsi="Times New Roman" w:cs="Times New Roman"/>
                <w:sz w:val="14"/>
                <w:szCs w:val="14"/>
              </w:rPr>
              <w:t xml:space="preserve">         </w:t>
            </w:r>
            <w:r w:rsidRPr="005740D1">
              <w:rPr>
                <w:rFonts w:ascii="Times New Roman" w:eastAsia="Times New Roman" w:hAnsi="Times New Roman" w:cs="Times New Roman"/>
                <w:sz w:val="20"/>
                <w:szCs w:val="20"/>
              </w:rPr>
              <w:t>attempt to sell our company;</w:t>
            </w:r>
          </w:p>
        </w:tc>
      </w:tr>
      <w:tr w:rsidR="005740D1" w:rsidRPr="005740D1" w:rsidTr="005740D1">
        <w:tc>
          <w:tcPr>
            <w:tcW w:w="0" w:type="auto"/>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tcMar>
              <w:top w:w="0" w:type="dxa"/>
              <w:left w:w="720" w:type="dxa"/>
              <w:bottom w:w="0" w:type="dxa"/>
              <w:right w:w="0" w:type="dxa"/>
            </w:tcMar>
            <w:hideMark/>
          </w:tcPr>
          <w:p w:rsidR="005740D1" w:rsidRPr="005740D1" w:rsidRDefault="005740D1" w:rsidP="005740D1">
            <w:pPr>
              <w:spacing w:after="0" w:line="276" w:lineRule="auto"/>
              <w:ind w:hanging="360"/>
              <w:rPr>
                <w:rFonts w:ascii="Calibri" w:eastAsia="Times New Roman" w:hAnsi="Calibri" w:cs="Times New Roman"/>
              </w:rPr>
            </w:pPr>
            <w:r w:rsidRPr="005740D1">
              <w:rPr>
                <w:rFonts w:ascii="Symbol" w:eastAsia="Times New Roman" w:hAnsi="Symbol" w:cs="Times New Roman"/>
                <w:sz w:val="20"/>
                <w:szCs w:val="20"/>
              </w:rPr>
              <w:t></w:t>
            </w:r>
            <w:r w:rsidRPr="005740D1">
              <w:rPr>
                <w:rFonts w:ascii="Times New Roman" w:eastAsia="Times New Roman" w:hAnsi="Times New Roman" w:cs="Times New Roman"/>
                <w:sz w:val="14"/>
                <w:szCs w:val="14"/>
              </w:rPr>
              <w:t xml:space="preserve">         </w:t>
            </w:r>
            <w:r w:rsidRPr="005740D1">
              <w:rPr>
                <w:rFonts w:ascii="Times New Roman" w:eastAsia="Times New Roman" w:hAnsi="Times New Roman" w:cs="Times New Roman"/>
                <w:sz w:val="20"/>
                <w:szCs w:val="20"/>
              </w:rPr>
              <w:t>cease operations; or</w:t>
            </w:r>
          </w:p>
        </w:tc>
      </w:tr>
      <w:tr w:rsidR="005740D1" w:rsidRPr="005740D1" w:rsidTr="005740D1">
        <w:tc>
          <w:tcPr>
            <w:tcW w:w="0" w:type="auto"/>
            <w:hideMark/>
          </w:tcPr>
          <w:p w:rsidR="005740D1" w:rsidRPr="005740D1" w:rsidRDefault="005740D1" w:rsidP="005740D1">
            <w:pPr>
              <w:spacing w:after="0" w:line="240" w:lineRule="auto"/>
              <w:rPr>
                <w:rFonts w:ascii="Calibri" w:eastAsia="Times New Roman" w:hAnsi="Calibri" w:cs="Times New Roman"/>
              </w:rPr>
            </w:pPr>
            <w:r w:rsidRPr="005740D1">
              <w:rPr>
                <w:rFonts w:ascii="Calibri" w:eastAsia="Times New Roman" w:hAnsi="Calibri" w:cs="Times New Roman"/>
              </w:rPr>
              <w:t> </w:t>
            </w:r>
          </w:p>
        </w:tc>
        <w:tc>
          <w:tcPr>
            <w:tcW w:w="0" w:type="auto"/>
            <w:tcMar>
              <w:top w:w="0" w:type="dxa"/>
              <w:left w:w="720" w:type="dxa"/>
              <w:bottom w:w="0" w:type="dxa"/>
              <w:right w:w="0" w:type="dxa"/>
            </w:tcMar>
            <w:hideMark/>
          </w:tcPr>
          <w:p w:rsidR="005740D1" w:rsidRPr="005740D1" w:rsidRDefault="005740D1" w:rsidP="005740D1">
            <w:pPr>
              <w:spacing w:after="0" w:line="276" w:lineRule="auto"/>
              <w:ind w:hanging="360"/>
              <w:rPr>
                <w:rFonts w:ascii="Calibri" w:eastAsia="Times New Roman" w:hAnsi="Calibri" w:cs="Times New Roman"/>
              </w:rPr>
            </w:pPr>
            <w:r w:rsidRPr="005740D1">
              <w:rPr>
                <w:rFonts w:ascii="Symbol" w:eastAsia="Times New Roman" w:hAnsi="Symbol" w:cs="Times New Roman"/>
                <w:sz w:val="20"/>
                <w:szCs w:val="20"/>
              </w:rPr>
              <w:t></w:t>
            </w:r>
            <w:r w:rsidRPr="005740D1">
              <w:rPr>
                <w:rFonts w:ascii="Times New Roman" w:eastAsia="Times New Roman" w:hAnsi="Times New Roman" w:cs="Times New Roman"/>
                <w:sz w:val="14"/>
                <w:szCs w:val="14"/>
              </w:rPr>
              <w:t xml:space="preserve">         </w:t>
            </w:r>
            <w:r w:rsidRPr="005740D1">
              <w:rPr>
                <w:rFonts w:ascii="Times New Roman" w:eastAsia="Times New Roman" w:hAnsi="Times New Roman" w:cs="Times New Roman"/>
                <w:sz w:val="20"/>
                <w:szCs w:val="20"/>
              </w:rPr>
              <w:t>declare bankruptcy.</w:t>
            </w:r>
          </w:p>
        </w:tc>
      </w:tr>
    </w:tbl>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We believe that our existing cash and cash equivalents will be sufficient to meet our operating and capital requirements until June 30, 2017. Any debt financing secured by us in the future could involve restrictive covenants relating to our capital raising activities and other financial and operational matters, which may make it more difficult for us to obtain additional capital and to pursue business opportunities, including potential acquisitions. We may not be able to secure additional debt or equity financing in a timely manner, or at all, which could require us to scale back our business plan and operations.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above conditions raise substantial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uncertainty.  Without additional funds from debt or equity financing, sales of our intellectual property or technologies, or from a business combination or a similar transaction, we will soon exhaust our resources and will be unable to continue operations.  If we cannot continue as a viable entity, our stockholders may lose some or all of their investment in us.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-18-</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Emerging Growth Company</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Off-Balance Sheet Arrangements</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Results of Operations</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Research and Development</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Research and development expenses were $128,559 for the three months ended December 31, 2016, and were $255,829 for the six months ended December 31, 2016. For the prior year, the Company did not have any research and development expenses. The research and development expenses were primarily due to the expenses incurred for clinical development activities.</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Selling, General and Administrative</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rPr>
      </w:pPr>
      <w:r w:rsidRPr="005740D1">
        <w:rPr>
          <w:rFonts w:ascii="Times New Roman" w:eastAsia="Times New Roman" w:hAnsi="Times New Roman" w:cs="Times New Roman"/>
          <w:sz w:val="20"/>
          <w:szCs w:val="20"/>
        </w:rPr>
        <w:t xml:space="preserve">Selling, general and administrative expenses were $7,533 for the three months ended December 31, 2016, an increase of $5,034, compared to $2,499 for the three months ended December 31, 2015. Selling, general and administrative expenses were $9,760 for the six months ended December 31, 2016, an increase of $3,960, compared to $5,800 for the six months ended December 31, 2015. </w:t>
      </w:r>
      <w:r w:rsidRPr="005740D1">
        <w:rPr>
          <w:rFonts w:ascii="Times New Roman" w:eastAsia="Times New Roman" w:hAnsi="Times New Roman" w:cs="Times New Roman"/>
          <w:color w:val="222222"/>
          <w:sz w:val="20"/>
          <w:szCs w:val="20"/>
          <w:shd w:val="clear" w:color="auto" w:fill="FFFFFF"/>
        </w:rPr>
        <w:t> </w:t>
      </w:r>
      <w:r w:rsidRPr="005740D1">
        <w:rPr>
          <w:rFonts w:ascii="Times New Roman" w:eastAsia="Times New Roman" w:hAnsi="Times New Roman" w:cs="Times New Roman"/>
          <w:sz w:val="20"/>
          <w:szCs w:val="20"/>
        </w:rPr>
        <w:t>The increase over the prior year was primarily due to travel and conference expenses</w:t>
      </w:r>
      <w:r w:rsidRPr="005740D1">
        <w:rPr>
          <w:rFonts w:ascii="Times New Roman" w:eastAsia="Times New Roman" w:hAnsi="Times New Roman" w:cs="Times New Roman"/>
        </w:rPr>
        <w:t> </w:t>
      </w:r>
      <w:r w:rsidRPr="005740D1">
        <w:rPr>
          <w:rFonts w:ascii="Times New Roman" w:eastAsia="Times New Roman" w:hAnsi="Times New Roman" w:cs="Times New Roman"/>
          <w:sz w:val="20"/>
          <w:szCs w:val="20"/>
        </w:rPr>
        <w:t>associated with financing activities.</w:t>
      </w:r>
      <w:r w:rsidRPr="005740D1">
        <w:rPr>
          <w:rFonts w:ascii="Times New Roman" w:eastAsia="Times New Roman" w:hAnsi="Times New Roman" w:cs="Times New Roman"/>
          <w:color w:val="222222"/>
          <w:sz w:val="20"/>
          <w:szCs w:val="20"/>
          <w:shd w:val="clear" w:color="auto" w:fill="FFFFFF"/>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-19-</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Professional Fees</w:t>
      </w:r>
    </w:p>
    <w:p w:rsidR="005740D1" w:rsidRPr="005740D1" w:rsidRDefault="005740D1" w:rsidP="005740D1">
      <w:pPr>
        <w:spacing w:after="0" w:line="240" w:lineRule="auto"/>
        <w:jc w:val="both"/>
        <w:rPr>
          <w:rFonts w:ascii="Calibri" w:eastAsia="Times New Roman" w:hAnsi="Calibri" w:cs="Times New Roman"/>
        </w:rPr>
      </w:pPr>
      <w:r w:rsidRPr="005740D1">
        <w:rPr>
          <w:rFonts w:ascii="Calibri" w:eastAsia="Times New Roman" w:hAnsi="Calibri" w:cs="Times New Roman"/>
        </w:rPr>
        <w:t> </w:t>
      </w:r>
    </w:p>
    <w:p w:rsidR="005740D1" w:rsidRPr="005740D1" w:rsidRDefault="005740D1" w:rsidP="005740D1">
      <w:pPr>
        <w:spacing w:after="0" w:line="240" w:lineRule="auto"/>
        <w:jc w:val="both"/>
        <w:rPr>
          <w:rFonts w:ascii="Times New Roman" w:eastAsia="Times New Roman" w:hAnsi="Times New Roman" w:cs="Times New Roman"/>
        </w:rPr>
      </w:pPr>
      <w:r w:rsidRPr="005740D1">
        <w:rPr>
          <w:rFonts w:ascii="Times New Roman" w:eastAsia="Times New Roman" w:hAnsi="Times New Roman" w:cs="Times New Roman"/>
          <w:sz w:val="20"/>
          <w:szCs w:val="20"/>
        </w:rPr>
        <w:t>Professional fees were $93,015 for the three months ended December 31, 2016, an increase of $85,955, compared to $7,060 for the three months ended December 31, 2015. Professional fees were $186,179 for the six months ended December 31, 2016, an increase of $168,162, compared to $18,017 for the six months ended December 31, 2015. The increase in professional fees related to increased costs for commercialization activities, intellectual property management,</w:t>
      </w:r>
      <w:r w:rsidRPr="005740D1">
        <w:rPr>
          <w:rFonts w:ascii="Times New Roman" w:eastAsia="Times New Roman" w:hAnsi="Times New Roman" w:cs="Times New Roman"/>
        </w:rPr>
        <w:t> </w:t>
      </w:r>
      <w:r w:rsidRPr="005740D1">
        <w:rPr>
          <w:rFonts w:ascii="Times New Roman" w:eastAsia="Times New Roman" w:hAnsi="Times New Roman" w:cs="Times New Roman"/>
          <w:sz w:val="20"/>
          <w:szCs w:val="20"/>
        </w:rPr>
        <w:t>general legal and financial expenses.</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i/>
          <w:iCs/>
          <w:sz w:val="20"/>
          <w:szCs w:val="20"/>
        </w:rPr>
        <w:t>Payroll Expenses</w:t>
      </w:r>
    </w:p>
    <w:p w:rsidR="005740D1" w:rsidRPr="005740D1" w:rsidRDefault="005740D1" w:rsidP="005740D1">
      <w:pPr>
        <w:spacing w:after="0" w:line="240" w:lineRule="auto"/>
        <w:jc w:val="both"/>
        <w:rPr>
          <w:rFonts w:ascii="Calibri" w:eastAsia="Times New Roman" w:hAnsi="Calibri" w:cs="Times New Roman"/>
        </w:rPr>
      </w:pPr>
      <w:r w:rsidRPr="005740D1">
        <w:rPr>
          <w:rFonts w:ascii="Calibri" w:eastAsia="Times New Roman" w:hAnsi="Calibri" w:cs="Times New Roman"/>
        </w:rPr>
        <w:t> </w:t>
      </w:r>
    </w:p>
    <w:p w:rsidR="005740D1" w:rsidRPr="005740D1" w:rsidRDefault="005740D1" w:rsidP="005740D1">
      <w:pPr>
        <w:spacing w:after="0" w:line="240" w:lineRule="auto"/>
        <w:jc w:val="both"/>
        <w:rPr>
          <w:rFonts w:ascii="Times New Roman" w:eastAsia="Times New Roman" w:hAnsi="Times New Roman" w:cs="Times New Roman"/>
        </w:rPr>
      </w:pPr>
      <w:r w:rsidRPr="005740D1">
        <w:rPr>
          <w:rFonts w:ascii="Times New Roman" w:eastAsia="Times New Roman" w:hAnsi="Times New Roman" w:cs="Times New Roman"/>
          <w:sz w:val="20"/>
          <w:szCs w:val="20"/>
        </w:rPr>
        <w:t>Payroll expenses were $71,348 for the three months ended December 31, 2016, an increase of $30,979, compared to $40,369 for the three months ended December 31, 2015. Payroll expenses were $142,696 for the six months ended December 31, 2016, an increase of $61,958, compared to $80,738 for the six months ended December 31, 2015. The increase in payroll expense was primarily due to an increase in accrued salary for the</w:t>
      </w:r>
      <w:r w:rsidRPr="005740D1">
        <w:rPr>
          <w:rFonts w:ascii="Times New Roman" w:eastAsia="Times New Roman" w:hAnsi="Times New Roman" w:cs="Times New Roman"/>
        </w:rPr>
        <w:t> </w:t>
      </w:r>
      <w:r w:rsidRPr="005740D1">
        <w:rPr>
          <w:rFonts w:ascii="Times New Roman" w:eastAsia="Times New Roman" w:hAnsi="Times New Roman" w:cs="Times New Roman"/>
          <w:sz w:val="20"/>
          <w:szCs w:val="20"/>
        </w:rPr>
        <w:t>new chief executive officer, Jonathan Adams who</w:t>
      </w:r>
      <w:r w:rsidRPr="005740D1">
        <w:rPr>
          <w:rFonts w:ascii="Times New Roman" w:eastAsia="Times New Roman" w:hAnsi="Times New Roman" w:cs="Times New Roman"/>
        </w:rPr>
        <w:t> </w:t>
      </w:r>
      <w:r w:rsidRPr="005740D1">
        <w:rPr>
          <w:rFonts w:ascii="Times New Roman" w:eastAsia="Times New Roman" w:hAnsi="Times New Roman" w:cs="Times New Roman"/>
          <w:sz w:val="20"/>
          <w:szCs w:val="20"/>
        </w:rPr>
        <w:t>joined the Company in April 2016.</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bookmarkStart w:id="9" w:name="a_004"/>
      <w:bookmarkEnd w:id="9"/>
      <w:r w:rsidRPr="005740D1">
        <w:rPr>
          <w:rFonts w:ascii="Times New Roman" w:eastAsia="Times New Roman" w:hAnsi="Times New Roman" w:cs="Times New Roman"/>
          <w:b/>
          <w:bCs/>
          <w:sz w:val="20"/>
          <w:szCs w:val="20"/>
        </w:rPr>
        <w:t>Item 3.  Quantitative and Qualitative Disclosures About Market Risk</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Not applicable</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bookmarkStart w:id="10" w:name="a_005"/>
      <w:bookmarkEnd w:id="10"/>
      <w:r w:rsidRPr="005740D1">
        <w:rPr>
          <w:rFonts w:ascii="Times New Roman" w:eastAsia="Times New Roman" w:hAnsi="Times New Roman" w:cs="Times New Roman"/>
          <w:b/>
          <w:bCs/>
          <w:sz w:val="20"/>
          <w:szCs w:val="20"/>
        </w:rPr>
        <w:t>Item 4.  Controls and Procedures</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The Company’s Chief Executive Officer and Chief Financial Officer have evaluated the effectiveness of the Company’s disclosure controls and procedures (as defined in Rules 13a-15(e) and 15d-15(e) under the Exchange Act) as of December 31, 2016 covered by this Quarterly Report on Form 10-Q.  Based upon such evaluation, the Chief Executive Officer and Chief Financial Officer have concluded that, as of the end of such period, the Company’s disclosure controls and procedures were not effective as required under Rules 13a-15(e) and 15d-15(e) under the Exchange Act. This conclusion by the Company’s Chief Executive Officer and Chief Financial Officer does not relate to reporting periods after December 31, 2016.</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Changes in Internal Control over Financial Reporting</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No change in the Company’s internal control over financial reporting occurred during the quarter ended December 31, 2016, that materially affected, or is reasonably likely to materially affect, the Company’s internal control over financial reporting.</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-20-</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PART II. OTHER INFORMATION</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bookmarkStart w:id="11" w:name="a_006"/>
      <w:bookmarkEnd w:id="11"/>
      <w:r w:rsidRPr="005740D1">
        <w:rPr>
          <w:rFonts w:ascii="Times New Roman" w:eastAsia="Times New Roman" w:hAnsi="Times New Roman" w:cs="Times New Roman"/>
          <w:b/>
          <w:bCs/>
          <w:sz w:val="20"/>
          <w:szCs w:val="20"/>
        </w:rPr>
        <w:t>Item 1. Legal Proceedings</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both"/>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bookmarkStart w:id="12" w:name="a_007"/>
      <w:bookmarkEnd w:id="12"/>
      <w:r w:rsidRPr="005740D1">
        <w:rPr>
          <w:rFonts w:ascii="Times New Roman" w:eastAsia="Times New Roman" w:hAnsi="Times New Roman" w:cs="Times New Roman"/>
          <w:b/>
          <w:bCs/>
          <w:sz w:val="20"/>
          <w:szCs w:val="20"/>
        </w:rPr>
        <w:t>Item 2. Unregistered sales of equity securities</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None</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bookmarkStart w:id="13" w:name="a_008"/>
      <w:bookmarkEnd w:id="13"/>
      <w:r w:rsidRPr="005740D1">
        <w:rPr>
          <w:rFonts w:ascii="Times New Roman" w:eastAsia="Times New Roman" w:hAnsi="Times New Roman" w:cs="Times New Roman"/>
          <w:b/>
          <w:bCs/>
          <w:sz w:val="20"/>
          <w:szCs w:val="20"/>
        </w:rPr>
        <w:t>Item 3. Defaults Upon Senior Securities</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None</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bookmarkStart w:id="14" w:name="a_009"/>
      <w:bookmarkEnd w:id="14"/>
      <w:r w:rsidRPr="005740D1">
        <w:rPr>
          <w:rFonts w:ascii="Times New Roman" w:eastAsia="Times New Roman" w:hAnsi="Times New Roman" w:cs="Times New Roman"/>
          <w:b/>
          <w:bCs/>
          <w:sz w:val="20"/>
          <w:szCs w:val="20"/>
        </w:rPr>
        <w:t>Item 4.  Mine Safety Disclosures</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None</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bookmarkStart w:id="15" w:name="a_010"/>
      <w:bookmarkEnd w:id="15"/>
      <w:r w:rsidRPr="005740D1">
        <w:rPr>
          <w:rFonts w:ascii="Times New Roman" w:eastAsia="Times New Roman" w:hAnsi="Times New Roman" w:cs="Times New Roman"/>
          <w:b/>
          <w:bCs/>
          <w:sz w:val="20"/>
          <w:szCs w:val="20"/>
        </w:rPr>
        <w:t>Item 5.  Other Information</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None</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bookmarkStart w:id="16" w:name="a_011"/>
      <w:bookmarkEnd w:id="16"/>
      <w:r w:rsidRPr="005740D1">
        <w:rPr>
          <w:rFonts w:ascii="Times New Roman" w:eastAsia="Times New Roman" w:hAnsi="Times New Roman" w:cs="Times New Roman"/>
          <w:b/>
          <w:bCs/>
          <w:sz w:val="20"/>
          <w:szCs w:val="20"/>
        </w:rPr>
        <w:t>Item 6. Exhibits</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(a)</w:t>
      </w:r>
      <w:r w:rsidRPr="005740D1">
        <w:rPr>
          <w:rFonts w:ascii="Times New Roman" w:eastAsia="Times New Roman" w:hAnsi="Times New Roman" w:cs="Times New Roman"/>
          <w:b/>
          <w:bCs/>
          <w:sz w:val="20"/>
          <w:szCs w:val="20"/>
        </w:rPr>
        <w:t> </w:t>
      </w:r>
      <w:r w:rsidRPr="005740D1">
        <w:rPr>
          <w:rFonts w:ascii="Times New Roman" w:eastAsia="Times New Roman" w:hAnsi="Times New Roman" w:cs="Times New Roman"/>
          <w:sz w:val="20"/>
          <w:szCs w:val="20"/>
        </w:rPr>
        <w:t>Exhibit index</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50"/>
        <w:gridCol w:w="152"/>
        <w:gridCol w:w="8858"/>
      </w:tblGrid>
      <w:tr w:rsidR="005740D1" w:rsidRPr="005740D1" w:rsidTr="005740D1">
        <w:tc>
          <w:tcPr>
            <w:tcW w:w="0" w:type="auto"/>
            <w:gridSpan w:val="3"/>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b/>
                <w:bCs/>
                <w:sz w:val="20"/>
                <w:szCs w:val="20"/>
              </w:rPr>
              <w:t>Exhibit </w:t>
            </w:r>
          </w:p>
        </w:tc>
      </w:tr>
      <w:tr w:rsidR="005740D1" w:rsidRPr="005740D1" w:rsidTr="005740D1">
        <w:tc>
          <w:tcPr>
            <w:tcW w:w="0" w:type="auto"/>
            <w:gridSpan w:val="3"/>
            <w:vAlign w:val="center"/>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r>
      <w:tr w:rsidR="005740D1" w:rsidRPr="005740D1" w:rsidTr="005740D1">
        <w:tc>
          <w:tcPr>
            <w:tcW w:w="150" w:type="pct"/>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sz w:val="20"/>
                <w:szCs w:val="20"/>
              </w:rPr>
              <w:t>31.1</w:t>
            </w:r>
          </w:p>
        </w:tc>
        <w:tc>
          <w:tcPr>
            <w:tcW w:w="100" w:type="pct"/>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4750" w:type="pct"/>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sz w:val="20"/>
                <w:szCs w:val="20"/>
              </w:rPr>
              <w:t>Certification of Chief Executive Officer, Chief Financial Officer, Chief Accounting Officer required by Rule 13a-14(a) or Rule 15d-14(a) under the Securities Exchange Act of 1934, as amended.</w:t>
            </w:r>
          </w:p>
        </w:tc>
      </w:tr>
      <w:tr w:rsidR="005740D1" w:rsidRPr="005740D1" w:rsidTr="005740D1">
        <w:tc>
          <w:tcPr>
            <w:tcW w:w="0" w:type="auto"/>
            <w:vAlign w:val="center"/>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gridSpan w:val="2"/>
            <w:vAlign w:val="center"/>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r>
      <w:tr w:rsidR="005740D1" w:rsidRPr="005740D1" w:rsidTr="005740D1">
        <w:tc>
          <w:tcPr>
            <w:tcW w:w="0" w:type="auto"/>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sz w:val="20"/>
                <w:szCs w:val="20"/>
              </w:rPr>
              <w:t>32.1</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sz w:val="20"/>
                <w:szCs w:val="20"/>
              </w:rPr>
              <w:t>Certification of Chief Executive Officer, Chief Financial Officer, Chief Accounting Officer required by Rule 13a-14(a) or Rule 15d-14(a) under the Securities Exchange Act of 1934, as amended.</w:t>
            </w:r>
          </w:p>
        </w:tc>
      </w:tr>
    </w:tbl>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(b)  Reports on Form 8-K</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None.</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-21-</w:t>
      </w:r>
    </w:p>
    <w:p w:rsidR="005740D1" w:rsidRPr="005740D1" w:rsidRDefault="005740D1" w:rsidP="005740D1">
      <w:pPr>
        <w:pageBreakBefore/>
        <w:spacing w:after="120" w:line="240" w:lineRule="auto"/>
        <w:rPr>
          <w:rFonts w:ascii="Times New Roman" w:eastAsia="Times New Roman" w:hAnsi="Times New Roman" w:cs="Times New Roman"/>
          <w:sz w:val="24"/>
          <w:szCs w:val="24"/>
        </w:rPr>
      </w:pPr>
      <w:hyperlink w:anchor="a_001" w:history="1">
        <w:r w:rsidRPr="005740D1">
          <w:rPr>
            <w:rFonts w:ascii="Times New Roman" w:eastAsia="Times New Roman" w:hAnsi="Times New Roman" w:cs="Times New Roman"/>
            <w:color w:val="0000FF"/>
            <w:sz w:val="20"/>
            <w:szCs w:val="20"/>
            <w:u w:val="single"/>
          </w:rPr>
          <w:t>Table of Contents</w:t>
        </w:r>
      </w:hyperlink>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jc w:val="center"/>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SIGNATURES</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rsidR="005740D1" w:rsidRPr="005740D1" w:rsidRDefault="005740D1" w:rsidP="005740D1">
      <w:pPr>
        <w:spacing w:after="0" w:line="240" w:lineRule="auto"/>
        <w:ind w:firstLine="720"/>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b/>
          <w:bCs/>
          <w:sz w:val="20"/>
          <w:szCs w:val="20"/>
        </w:rPr>
        <w:t>NANOANTIBIOTICS, INC.</w:t>
      </w:r>
    </w:p>
    <w:tbl>
      <w:tblPr>
        <w:tblW w:w="5000" w:type="pct"/>
        <w:tblCellMar>
          <w:left w:w="0" w:type="dxa"/>
          <w:right w:w="0" w:type="dxa"/>
        </w:tblCellMar>
        <w:tblLook w:val="04A0" w:firstRow="1" w:lastRow="0" w:firstColumn="1" w:lastColumn="0" w:noHBand="0" w:noVBand="1"/>
      </w:tblPr>
      <w:tblGrid>
        <w:gridCol w:w="1685"/>
        <w:gridCol w:w="187"/>
        <w:gridCol w:w="5242"/>
        <w:gridCol w:w="187"/>
        <w:gridCol w:w="2059"/>
      </w:tblGrid>
      <w:tr w:rsidR="005740D1" w:rsidRPr="005740D1" w:rsidTr="005740D1">
        <w:tc>
          <w:tcPr>
            <w:tcW w:w="900" w:type="pct"/>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100" w:type="pct"/>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2800" w:type="pct"/>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100" w:type="pct"/>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1100" w:type="pct"/>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r>
      <w:tr w:rsidR="005740D1" w:rsidRPr="005740D1" w:rsidTr="005740D1">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sz w:val="20"/>
                <w:szCs w:val="20"/>
              </w:rPr>
              <w:t>Signature</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sz w:val="20"/>
                <w:szCs w:val="20"/>
              </w:rPr>
              <w:t>Titles</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sz w:val="20"/>
                <w:szCs w:val="20"/>
              </w:rPr>
              <w:t>Date</w:t>
            </w:r>
          </w:p>
        </w:tc>
      </w:tr>
      <w:tr w:rsidR="005740D1" w:rsidRPr="005740D1" w:rsidTr="005740D1">
        <w:tc>
          <w:tcPr>
            <w:tcW w:w="0" w:type="auto"/>
            <w:gridSpan w:val="3"/>
            <w:vAlign w:val="bottom"/>
            <w:hideMark/>
          </w:tcPr>
          <w:p w:rsidR="005740D1" w:rsidRPr="005740D1" w:rsidRDefault="005740D1" w:rsidP="005740D1">
            <w:pPr>
              <w:spacing w:after="0" w:line="276" w:lineRule="auto"/>
              <w:rPr>
                <w:rFonts w:ascii="Calibri" w:eastAsia="Times New Roman" w:hAnsi="Calibri" w:cs="Times New Roman"/>
                <w:u w:val="single"/>
              </w:rPr>
            </w:pPr>
            <w:r w:rsidRPr="005740D1">
              <w:rPr>
                <w:rFonts w:ascii="Times New Roman" w:eastAsia="Times New Roman" w:hAnsi="Times New Roman" w:cs="Times New Roman"/>
                <w:i/>
                <w:iCs/>
                <w:sz w:val="20"/>
                <w:szCs w:val="20"/>
                <w:u w:val="single"/>
              </w:rPr>
              <w:t>/s/</w:t>
            </w:r>
            <w:r w:rsidRPr="005740D1">
              <w:rPr>
                <w:rFonts w:ascii="Times New Roman" w:eastAsia="Times New Roman" w:hAnsi="Times New Roman" w:cs="Times New Roman"/>
                <w:sz w:val="20"/>
                <w:szCs w:val="20"/>
                <w:u w:val="single"/>
              </w:rPr>
              <w:t> Jonathan Adams</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r>
      <w:tr w:rsidR="005740D1" w:rsidRPr="005740D1" w:rsidTr="005740D1">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sz w:val="20"/>
                <w:szCs w:val="20"/>
              </w:rPr>
              <w:t>Jonathan Adams</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sz w:val="20"/>
                <w:szCs w:val="20"/>
              </w:rPr>
              <w:t>Chief Executive Officer, Chief Financial Officer, Principal Executive Officer, Principal Accounting Officer</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Times New Roman" w:eastAsia="Times New Roman" w:hAnsi="Times New Roman" w:cs="Times New Roman"/>
                <w:sz w:val="20"/>
                <w:szCs w:val="20"/>
              </w:rPr>
              <w:t>February 7, 2017</w:t>
            </w:r>
          </w:p>
        </w:tc>
      </w:tr>
      <w:tr w:rsidR="005740D1" w:rsidRPr="005740D1" w:rsidTr="005740D1">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r>
      <w:tr w:rsidR="005740D1" w:rsidRPr="005740D1" w:rsidTr="005740D1">
        <w:tc>
          <w:tcPr>
            <w:tcW w:w="0" w:type="auto"/>
            <w:gridSpan w:val="3"/>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r>
      <w:tr w:rsidR="005740D1" w:rsidRPr="005740D1" w:rsidTr="005740D1">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r>
      <w:tr w:rsidR="005740D1" w:rsidRPr="005740D1" w:rsidTr="005740D1">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c>
          <w:tcPr>
            <w:tcW w:w="0" w:type="auto"/>
            <w:vAlign w:val="bottom"/>
            <w:hideMark/>
          </w:tcPr>
          <w:p w:rsidR="005740D1" w:rsidRPr="005740D1" w:rsidRDefault="005740D1" w:rsidP="005740D1">
            <w:pPr>
              <w:spacing w:after="0" w:line="276" w:lineRule="auto"/>
              <w:rPr>
                <w:rFonts w:ascii="Calibri" w:eastAsia="Times New Roman" w:hAnsi="Calibri" w:cs="Times New Roman"/>
              </w:rPr>
            </w:pPr>
            <w:r w:rsidRPr="005740D1">
              <w:rPr>
                <w:rFonts w:ascii="Calibri" w:eastAsia="Times New Roman" w:hAnsi="Calibri" w:cs="Times New Roman"/>
              </w:rPr>
              <w:t> </w:t>
            </w:r>
          </w:p>
        </w:tc>
      </w:tr>
    </w:tbl>
    <w:p w:rsidR="005740D1" w:rsidRPr="005740D1" w:rsidRDefault="005740D1" w:rsidP="005740D1">
      <w:pPr>
        <w:spacing w:after="0" w:line="240" w:lineRule="auto"/>
        <w:rPr>
          <w:rFonts w:ascii="Times New Roman" w:eastAsia="Times New Roman" w:hAnsi="Times New Roman" w:cs="Times New Roman"/>
          <w:sz w:val="20"/>
          <w:szCs w:val="20"/>
        </w:rPr>
      </w:pPr>
      <w:r w:rsidRPr="005740D1">
        <w:rPr>
          <w:rFonts w:ascii="Times New Roman" w:eastAsia="Times New Roman" w:hAnsi="Times New Roman" w:cs="Times New Roman"/>
          <w:sz w:val="20"/>
          <w:szCs w:val="20"/>
        </w:rPr>
        <w:t> </w:t>
      </w:r>
    </w:p>
    <w:p w:rsidR="005740D1" w:rsidRPr="005740D1" w:rsidRDefault="005740D1" w:rsidP="005740D1">
      <w:pPr>
        <w:spacing w:after="120" w:line="240" w:lineRule="auto"/>
        <w:jc w:val="center"/>
        <w:rPr>
          <w:rFonts w:ascii="Times New Roman" w:eastAsia="Times New Roman" w:hAnsi="Times New Roman" w:cs="Times New Roman"/>
        </w:rPr>
      </w:pPr>
      <w:r w:rsidRPr="005740D1">
        <w:rPr>
          <w:rFonts w:ascii="Times New Roman" w:eastAsia="Times New Roman" w:hAnsi="Times New Roman" w:cs="Times New Roman"/>
          <w:sz w:val="20"/>
          <w:szCs w:val="20"/>
        </w:rPr>
        <w:t> -22-</w:t>
      </w:r>
    </w:p>
    <w:p w:rsidR="005A06CA" w:rsidRDefault="005A06CA"/>
    <w:sectPr w:rsidR="005A0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imes">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23D2E"/>
    <w:multiLevelType w:val="multilevel"/>
    <w:tmpl w:val="9BC4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D1"/>
    <w:rsid w:val="00090A42"/>
    <w:rsid w:val="00116C34"/>
    <w:rsid w:val="001C3010"/>
    <w:rsid w:val="00226471"/>
    <w:rsid w:val="002D6019"/>
    <w:rsid w:val="003017BB"/>
    <w:rsid w:val="00330910"/>
    <w:rsid w:val="0041437F"/>
    <w:rsid w:val="004348F8"/>
    <w:rsid w:val="004E60A5"/>
    <w:rsid w:val="005740D1"/>
    <w:rsid w:val="005A06CA"/>
    <w:rsid w:val="005C0F83"/>
    <w:rsid w:val="00643E55"/>
    <w:rsid w:val="00656BB0"/>
    <w:rsid w:val="006F2D75"/>
    <w:rsid w:val="006F30DB"/>
    <w:rsid w:val="00713BC3"/>
    <w:rsid w:val="0072707B"/>
    <w:rsid w:val="007540A2"/>
    <w:rsid w:val="007B1301"/>
    <w:rsid w:val="007D7F9E"/>
    <w:rsid w:val="007E330D"/>
    <w:rsid w:val="00825063"/>
    <w:rsid w:val="00856B06"/>
    <w:rsid w:val="008F6786"/>
    <w:rsid w:val="00927378"/>
    <w:rsid w:val="00A248B0"/>
    <w:rsid w:val="00A3653D"/>
    <w:rsid w:val="00A8565A"/>
    <w:rsid w:val="00A915BA"/>
    <w:rsid w:val="00AD143F"/>
    <w:rsid w:val="00AD765B"/>
    <w:rsid w:val="00B43C5C"/>
    <w:rsid w:val="00B6384D"/>
    <w:rsid w:val="00BF69E8"/>
    <w:rsid w:val="00C029F5"/>
    <w:rsid w:val="00CB1F6A"/>
    <w:rsid w:val="00CD252B"/>
    <w:rsid w:val="00D039D2"/>
    <w:rsid w:val="00DC2EB0"/>
    <w:rsid w:val="00E24CF4"/>
    <w:rsid w:val="00E6368A"/>
    <w:rsid w:val="00E66835"/>
    <w:rsid w:val="00E97CFA"/>
    <w:rsid w:val="00EE4BEC"/>
    <w:rsid w:val="00EF705C"/>
    <w:rsid w:val="00F36A09"/>
    <w:rsid w:val="00F93E9B"/>
    <w:rsid w:val="00FC37F2"/>
    <w:rsid w:val="00FE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C64DB-CDA9-43DE-BFAF-D9E3833F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740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740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40D1"/>
    <w:rPr>
      <w:color w:val="0000FF"/>
      <w:u w:val="single"/>
    </w:rPr>
  </w:style>
  <w:style w:type="character" w:styleId="FollowedHyperlink">
    <w:name w:val="FollowedHyperlink"/>
    <w:basedOn w:val="DefaultParagraphFont"/>
    <w:uiPriority w:val="99"/>
    <w:semiHidden/>
    <w:unhideWhenUsed/>
    <w:rsid w:val="005740D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729893">
      <w:bodyDiv w:val="1"/>
      <w:marLeft w:val="0"/>
      <w:marRight w:val="0"/>
      <w:marTop w:val="0"/>
      <w:marBottom w:val="0"/>
      <w:divBdr>
        <w:top w:val="none" w:sz="0" w:space="0" w:color="auto"/>
        <w:left w:val="none" w:sz="0" w:space="0" w:color="auto"/>
        <w:bottom w:val="none" w:sz="0" w:space="0" w:color="auto"/>
        <w:right w:val="none" w:sz="0" w:space="0" w:color="auto"/>
      </w:divBdr>
      <w:divsChild>
        <w:div w:id="239482580">
          <w:marLeft w:val="0"/>
          <w:marRight w:val="0"/>
          <w:marTop w:val="0"/>
          <w:marBottom w:val="0"/>
          <w:divBdr>
            <w:top w:val="none" w:sz="0" w:space="0" w:color="auto"/>
            <w:left w:val="none" w:sz="0" w:space="0" w:color="auto"/>
            <w:bottom w:val="none" w:sz="0" w:space="0" w:color="auto"/>
            <w:right w:val="none" w:sz="0" w:space="0" w:color="auto"/>
          </w:divBdr>
          <w:divsChild>
            <w:div w:id="254098206">
              <w:marLeft w:val="0"/>
              <w:marRight w:val="0"/>
              <w:marTop w:val="120"/>
              <w:marBottom w:val="120"/>
              <w:divBdr>
                <w:top w:val="none" w:sz="0" w:space="0" w:color="auto"/>
                <w:left w:val="none" w:sz="0" w:space="0" w:color="auto"/>
                <w:bottom w:val="none" w:sz="0" w:space="0" w:color="auto"/>
                <w:right w:val="none" w:sz="0" w:space="0" w:color="auto"/>
              </w:divBdr>
            </w:div>
            <w:div w:id="567573778">
              <w:marLeft w:val="0"/>
              <w:marRight w:val="0"/>
              <w:marTop w:val="0"/>
              <w:marBottom w:val="120"/>
              <w:divBdr>
                <w:top w:val="none" w:sz="0" w:space="0" w:color="auto"/>
                <w:left w:val="none" w:sz="0" w:space="0" w:color="auto"/>
                <w:bottom w:val="none" w:sz="0" w:space="0" w:color="auto"/>
                <w:right w:val="none" w:sz="0" w:space="0" w:color="auto"/>
              </w:divBdr>
            </w:div>
            <w:div w:id="1832599607">
              <w:marLeft w:val="0"/>
              <w:marRight w:val="0"/>
              <w:marTop w:val="120"/>
              <w:marBottom w:val="120"/>
              <w:divBdr>
                <w:top w:val="none" w:sz="0" w:space="0" w:color="auto"/>
                <w:left w:val="none" w:sz="0" w:space="0" w:color="auto"/>
                <w:bottom w:val="single" w:sz="8" w:space="0" w:color="000000"/>
                <w:right w:val="none" w:sz="0" w:space="0" w:color="auto"/>
              </w:divBdr>
            </w:div>
            <w:div w:id="342244027">
              <w:marLeft w:val="0"/>
              <w:marRight w:val="0"/>
              <w:marTop w:val="120"/>
              <w:marBottom w:val="120"/>
              <w:divBdr>
                <w:top w:val="none" w:sz="0" w:space="0" w:color="auto"/>
                <w:left w:val="none" w:sz="0" w:space="0" w:color="auto"/>
                <w:bottom w:val="none" w:sz="0" w:space="0" w:color="auto"/>
                <w:right w:val="none" w:sz="0" w:space="0" w:color="auto"/>
              </w:divBdr>
            </w:div>
            <w:div w:id="314341396">
              <w:marLeft w:val="0"/>
              <w:marRight w:val="0"/>
              <w:marTop w:val="120"/>
              <w:marBottom w:val="120"/>
              <w:divBdr>
                <w:top w:val="none" w:sz="0" w:space="0" w:color="auto"/>
                <w:left w:val="none" w:sz="0" w:space="0" w:color="auto"/>
                <w:bottom w:val="single" w:sz="8" w:space="0" w:color="000000"/>
                <w:right w:val="none" w:sz="0" w:space="0" w:color="auto"/>
              </w:divBdr>
            </w:div>
            <w:div w:id="805707807">
              <w:marLeft w:val="0"/>
              <w:marRight w:val="0"/>
              <w:marTop w:val="120"/>
              <w:marBottom w:val="120"/>
              <w:divBdr>
                <w:top w:val="none" w:sz="0" w:space="0" w:color="auto"/>
                <w:left w:val="none" w:sz="0" w:space="0" w:color="auto"/>
                <w:bottom w:val="none" w:sz="0" w:space="0" w:color="auto"/>
                <w:right w:val="none" w:sz="0" w:space="0" w:color="auto"/>
              </w:divBdr>
            </w:div>
            <w:div w:id="991325236">
              <w:marLeft w:val="0"/>
              <w:marRight w:val="0"/>
              <w:marTop w:val="120"/>
              <w:marBottom w:val="120"/>
              <w:divBdr>
                <w:top w:val="none" w:sz="0" w:space="0" w:color="auto"/>
                <w:left w:val="none" w:sz="0" w:space="0" w:color="auto"/>
                <w:bottom w:val="single" w:sz="8" w:space="0" w:color="000000"/>
                <w:right w:val="none" w:sz="0" w:space="0" w:color="auto"/>
              </w:divBdr>
            </w:div>
            <w:div w:id="766969687">
              <w:marLeft w:val="0"/>
              <w:marRight w:val="0"/>
              <w:marTop w:val="120"/>
              <w:marBottom w:val="120"/>
              <w:divBdr>
                <w:top w:val="none" w:sz="0" w:space="0" w:color="auto"/>
                <w:left w:val="none" w:sz="0" w:space="0" w:color="auto"/>
                <w:bottom w:val="none" w:sz="0" w:space="0" w:color="auto"/>
                <w:right w:val="none" w:sz="0" w:space="0" w:color="auto"/>
              </w:divBdr>
            </w:div>
            <w:div w:id="913514011">
              <w:marLeft w:val="0"/>
              <w:marRight w:val="0"/>
              <w:marTop w:val="120"/>
              <w:marBottom w:val="120"/>
              <w:divBdr>
                <w:top w:val="none" w:sz="0" w:space="0" w:color="auto"/>
                <w:left w:val="none" w:sz="0" w:space="0" w:color="auto"/>
                <w:bottom w:val="single" w:sz="8" w:space="0" w:color="000000"/>
                <w:right w:val="none" w:sz="0" w:space="0" w:color="auto"/>
              </w:divBdr>
            </w:div>
            <w:div w:id="2041003377">
              <w:marLeft w:val="0"/>
              <w:marRight w:val="0"/>
              <w:marTop w:val="120"/>
              <w:marBottom w:val="120"/>
              <w:divBdr>
                <w:top w:val="none" w:sz="0" w:space="0" w:color="auto"/>
                <w:left w:val="none" w:sz="0" w:space="0" w:color="auto"/>
                <w:bottom w:val="none" w:sz="0" w:space="0" w:color="auto"/>
                <w:right w:val="none" w:sz="0" w:space="0" w:color="auto"/>
              </w:divBdr>
            </w:div>
            <w:div w:id="1399402354">
              <w:marLeft w:val="0"/>
              <w:marRight w:val="0"/>
              <w:marTop w:val="120"/>
              <w:marBottom w:val="120"/>
              <w:divBdr>
                <w:top w:val="none" w:sz="0" w:space="0" w:color="auto"/>
                <w:left w:val="none" w:sz="0" w:space="0" w:color="auto"/>
                <w:bottom w:val="single" w:sz="8" w:space="0" w:color="000000"/>
                <w:right w:val="none" w:sz="0" w:space="0" w:color="auto"/>
              </w:divBdr>
            </w:div>
            <w:div w:id="741218257">
              <w:marLeft w:val="0"/>
              <w:marRight w:val="0"/>
              <w:marTop w:val="120"/>
              <w:marBottom w:val="120"/>
              <w:divBdr>
                <w:top w:val="none" w:sz="0" w:space="0" w:color="auto"/>
                <w:left w:val="none" w:sz="0" w:space="0" w:color="auto"/>
                <w:bottom w:val="none" w:sz="0" w:space="0" w:color="auto"/>
                <w:right w:val="none" w:sz="0" w:space="0" w:color="auto"/>
              </w:divBdr>
            </w:div>
            <w:div w:id="1191920450">
              <w:marLeft w:val="0"/>
              <w:marRight w:val="0"/>
              <w:marTop w:val="120"/>
              <w:marBottom w:val="120"/>
              <w:divBdr>
                <w:top w:val="none" w:sz="0" w:space="0" w:color="auto"/>
                <w:left w:val="none" w:sz="0" w:space="0" w:color="auto"/>
                <w:bottom w:val="single" w:sz="8" w:space="0" w:color="000000"/>
                <w:right w:val="none" w:sz="0" w:space="0" w:color="auto"/>
              </w:divBdr>
            </w:div>
            <w:div w:id="1382443489">
              <w:marLeft w:val="0"/>
              <w:marRight w:val="0"/>
              <w:marTop w:val="120"/>
              <w:marBottom w:val="120"/>
              <w:divBdr>
                <w:top w:val="none" w:sz="0" w:space="0" w:color="auto"/>
                <w:left w:val="none" w:sz="0" w:space="0" w:color="auto"/>
                <w:bottom w:val="none" w:sz="0" w:space="0" w:color="auto"/>
                <w:right w:val="none" w:sz="0" w:space="0" w:color="auto"/>
              </w:divBdr>
            </w:div>
            <w:div w:id="375356491">
              <w:marLeft w:val="0"/>
              <w:marRight w:val="0"/>
              <w:marTop w:val="120"/>
              <w:marBottom w:val="120"/>
              <w:divBdr>
                <w:top w:val="none" w:sz="0" w:space="0" w:color="auto"/>
                <w:left w:val="none" w:sz="0" w:space="0" w:color="auto"/>
                <w:bottom w:val="single" w:sz="8" w:space="0" w:color="000000"/>
                <w:right w:val="none" w:sz="0" w:space="0" w:color="auto"/>
              </w:divBdr>
            </w:div>
            <w:div w:id="1897013101">
              <w:marLeft w:val="0"/>
              <w:marRight w:val="0"/>
              <w:marTop w:val="120"/>
              <w:marBottom w:val="120"/>
              <w:divBdr>
                <w:top w:val="none" w:sz="0" w:space="0" w:color="auto"/>
                <w:left w:val="none" w:sz="0" w:space="0" w:color="auto"/>
                <w:bottom w:val="none" w:sz="0" w:space="0" w:color="auto"/>
                <w:right w:val="none" w:sz="0" w:space="0" w:color="auto"/>
              </w:divBdr>
            </w:div>
            <w:div w:id="954487581">
              <w:marLeft w:val="0"/>
              <w:marRight w:val="0"/>
              <w:marTop w:val="120"/>
              <w:marBottom w:val="120"/>
              <w:divBdr>
                <w:top w:val="none" w:sz="0" w:space="0" w:color="auto"/>
                <w:left w:val="none" w:sz="0" w:space="0" w:color="auto"/>
                <w:bottom w:val="single" w:sz="8" w:space="0" w:color="000000"/>
                <w:right w:val="none" w:sz="0" w:space="0" w:color="auto"/>
              </w:divBdr>
            </w:div>
            <w:div w:id="402335249">
              <w:marLeft w:val="0"/>
              <w:marRight w:val="0"/>
              <w:marTop w:val="120"/>
              <w:marBottom w:val="120"/>
              <w:divBdr>
                <w:top w:val="none" w:sz="0" w:space="0" w:color="auto"/>
                <w:left w:val="none" w:sz="0" w:space="0" w:color="auto"/>
                <w:bottom w:val="none" w:sz="0" w:space="0" w:color="auto"/>
                <w:right w:val="none" w:sz="0" w:space="0" w:color="auto"/>
              </w:divBdr>
            </w:div>
            <w:div w:id="1808666148">
              <w:marLeft w:val="0"/>
              <w:marRight w:val="0"/>
              <w:marTop w:val="120"/>
              <w:marBottom w:val="120"/>
              <w:divBdr>
                <w:top w:val="none" w:sz="0" w:space="0" w:color="auto"/>
                <w:left w:val="none" w:sz="0" w:space="0" w:color="auto"/>
                <w:bottom w:val="single" w:sz="8" w:space="0" w:color="000000"/>
                <w:right w:val="none" w:sz="0" w:space="0" w:color="auto"/>
              </w:divBdr>
            </w:div>
            <w:div w:id="253901785">
              <w:marLeft w:val="0"/>
              <w:marRight w:val="0"/>
              <w:marTop w:val="120"/>
              <w:marBottom w:val="120"/>
              <w:divBdr>
                <w:top w:val="none" w:sz="0" w:space="0" w:color="auto"/>
                <w:left w:val="none" w:sz="0" w:space="0" w:color="auto"/>
                <w:bottom w:val="none" w:sz="0" w:space="0" w:color="auto"/>
                <w:right w:val="none" w:sz="0" w:space="0" w:color="auto"/>
              </w:divBdr>
            </w:div>
            <w:div w:id="813570257">
              <w:marLeft w:val="0"/>
              <w:marRight w:val="0"/>
              <w:marTop w:val="120"/>
              <w:marBottom w:val="120"/>
              <w:divBdr>
                <w:top w:val="none" w:sz="0" w:space="0" w:color="auto"/>
                <w:left w:val="none" w:sz="0" w:space="0" w:color="auto"/>
                <w:bottom w:val="single" w:sz="8" w:space="0" w:color="000000"/>
                <w:right w:val="none" w:sz="0" w:space="0" w:color="auto"/>
              </w:divBdr>
            </w:div>
            <w:div w:id="720861958">
              <w:marLeft w:val="0"/>
              <w:marRight w:val="0"/>
              <w:marTop w:val="120"/>
              <w:marBottom w:val="120"/>
              <w:divBdr>
                <w:top w:val="none" w:sz="0" w:space="0" w:color="auto"/>
                <w:left w:val="none" w:sz="0" w:space="0" w:color="auto"/>
                <w:bottom w:val="none" w:sz="0" w:space="0" w:color="auto"/>
                <w:right w:val="none" w:sz="0" w:space="0" w:color="auto"/>
              </w:divBdr>
            </w:div>
            <w:div w:id="208760494">
              <w:marLeft w:val="0"/>
              <w:marRight w:val="0"/>
              <w:marTop w:val="120"/>
              <w:marBottom w:val="120"/>
              <w:divBdr>
                <w:top w:val="none" w:sz="0" w:space="0" w:color="auto"/>
                <w:left w:val="none" w:sz="0" w:space="0" w:color="auto"/>
                <w:bottom w:val="single" w:sz="8" w:space="0" w:color="000000"/>
                <w:right w:val="none" w:sz="0" w:space="0" w:color="auto"/>
              </w:divBdr>
            </w:div>
            <w:div w:id="993223949">
              <w:marLeft w:val="0"/>
              <w:marRight w:val="0"/>
              <w:marTop w:val="120"/>
              <w:marBottom w:val="120"/>
              <w:divBdr>
                <w:top w:val="none" w:sz="0" w:space="0" w:color="auto"/>
                <w:left w:val="none" w:sz="0" w:space="0" w:color="auto"/>
                <w:bottom w:val="none" w:sz="0" w:space="0" w:color="auto"/>
                <w:right w:val="none" w:sz="0" w:space="0" w:color="auto"/>
              </w:divBdr>
            </w:div>
            <w:div w:id="427383526">
              <w:marLeft w:val="0"/>
              <w:marRight w:val="0"/>
              <w:marTop w:val="120"/>
              <w:marBottom w:val="120"/>
              <w:divBdr>
                <w:top w:val="none" w:sz="0" w:space="0" w:color="auto"/>
                <w:left w:val="none" w:sz="0" w:space="0" w:color="auto"/>
                <w:bottom w:val="single" w:sz="8" w:space="0" w:color="000000"/>
                <w:right w:val="none" w:sz="0" w:space="0" w:color="auto"/>
              </w:divBdr>
            </w:div>
            <w:div w:id="1297181561">
              <w:marLeft w:val="0"/>
              <w:marRight w:val="0"/>
              <w:marTop w:val="120"/>
              <w:marBottom w:val="120"/>
              <w:divBdr>
                <w:top w:val="none" w:sz="0" w:space="0" w:color="auto"/>
                <w:left w:val="none" w:sz="0" w:space="0" w:color="auto"/>
                <w:bottom w:val="none" w:sz="0" w:space="0" w:color="auto"/>
                <w:right w:val="none" w:sz="0" w:space="0" w:color="auto"/>
              </w:divBdr>
            </w:div>
            <w:div w:id="2105421218">
              <w:marLeft w:val="0"/>
              <w:marRight w:val="0"/>
              <w:marTop w:val="120"/>
              <w:marBottom w:val="120"/>
              <w:divBdr>
                <w:top w:val="none" w:sz="0" w:space="0" w:color="auto"/>
                <w:left w:val="none" w:sz="0" w:space="0" w:color="auto"/>
                <w:bottom w:val="single" w:sz="8" w:space="0" w:color="000000"/>
                <w:right w:val="none" w:sz="0" w:space="0" w:color="auto"/>
              </w:divBdr>
            </w:div>
            <w:div w:id="849830958">
              <w:marLeft w:val="0"/>
              <w:marRight w:val="0"/>
              <w:marTop w:val="120"/>
              <w:marBottom w:val="120"/>
              <w:divBdr>
                <w:top w:val="none" w:sz="0" w:space="0" w:color="auto"/>
                <w:left w:val="none" w:sz="0" w:space="0" w:color="auto"/>
                <w:bottom w:val="none" w:sz="0" w:space="0" w:color="auto"/>
                <w:right w:val="none" w:sz="0" w:space="0" w:color="auto"/>
              </w:divBdr>
            </w:div>
            <w:div w:id="1537768229">
              <w:marLeft w:val="0"/>
              <w:marRight w:val="0"/>
              <w:marTop w:val="120"/>
              <w:marBottom w:val="120"/>
              <w:divBdr>
                <w:top w:val="none" w:sz="0" w:space="0" w:color="auto"/>
                <w:left w:val="none" w:sz="0" w:space="0" w:color="auto"/>
                <w:bottom w:val="single" w:sz="8" w:space="0" w:color="000000"/>
                <w:right w:val="none" w:sz="0" w:space="0" w:color="auto"/>
              </w:divBdr>
            </w:div>
            <w:div w:id="1871529471">
              <w:marLeft w:val="0"/>
              <w:marRight w:val="0"/>
              <w:marTop w:val="120"/>
              <w:marBottom w:val="120"/>
              <w:divBdr>
                <w:top w:val="none" w:sz="0" w:space="0" w:color="auto"/>
                <w:left w:val="none" w:sz="0" w:space="0" w:color="auto"/>
                <w:bottom w:val="none" w:sz="0" w:space="0" w:color="auto"/>
                <w:right w:val="none" w:sz="0" w:space="0" w:color="auto"/>
              </w:divBdr>
            </w:div>
            <w:div w:id="2000840908">
              <w:marLeft w:val="0"/>
              <w:marRight w:val="0"/>
              <w:marTop w:val="120"/>
              <w:marBottom w:val="120"/>
              <w:divBdr>
                <w:top w:val="none" w:sz="0" w:space="0" w:color="auto"/>
                <w:left w:val="none" w:sz="0" w:space="0" w:color="auto"/>
                <w:bottom w:val="single" w:sz="8" w:space="0" w:color="000000"/>
                <w:right w:val="none" w:sz="0" w:space="0" w:color="auto"/>
              </w:divBdr>
            </w:div>
            <w:div w:id="1912350373">
              <w:marLeft w:val="0"/>
              <w:marRight w:val="0"/>
              <w:marTop w:val="120"/>
              <w:marBottom w:val="120"/>
              <w:divBdr>
                <w:top w:val="none" w:sz="0" w:space="0" w:color="auto"/>
                <w:left w:val="none" w:sz="0" w:space="0" w:color="auto"/>
                <w:bottom w:val="none" w:sz="0" w:space="0" w:color="auto"/>
                <w:right w:val="none" w:sz="0" w:space="0" w:color="auto"/>
              </w:divBdr>
            </w:div>
            <w:div w:id="709647869">
              <w:marLeft w:val="0"/>
              <w:marRight w:val="0"/>
              <w:marTop w:val="120"/>
              <w:marBottom w:val="120"/>
              <w:divBdr>
                <w:top w:val="none" w:sz="0" w:space="0" w:color="auto"/>
                <w:left w:val="none" w:sz="0" w:space="0" w:color="auto"/>
                <w:bottom w:val="single" w:sz="8" w:space="0" w:color="000000"/>
                <w:right w:val="none" w:sz="0" w:space="0" w:color="auto"/>
              </w:divBdr>
            </w:div>
            <w:div w:id="1425112045">
              <w:marLeft w:val="0"/>
              <w:marRight w:val="0"/>
              <w:marTop w:val="120"/>
              <w:marBottom w:val="120"/>
              <w:divBdr>
                <w:top w:val="none" w:sz="0" w:space="0" w:color="auto"/>
                <w:left w:val="none" w:sz="0" w:space="0" w:color="auto"/>
                <w:bottom w:val="none" w:sz="0" w:space="0" w:color="auto"/>
                <w:right w:val="none" w:sz="0" w:space="0" w:color="auto"/>
              </w:divBdr>
            </w:div>
            <w:div w:id="318190897">
              <w:marLeft w:val="0"/>
              <w:marRight w:val="0"/>
              <w:marTop w:val="120"/>
              <w:marBottom w:val="120"/>
              <w:divBdr>
                <w:top w:val="none" w:sz="0" w:space="0" w:color="auto"/>
                <w:left w:val="none" w:sz="0" w:space="0" w:color="auto"/>
                <w:bottom w:val="single" w:sz="8" w:space="0" w:color="000000"/>
                <w:right w:val="none" w:sz="0" w:space="0" w:color="auto"/>
              </w:divBdr>
            </w:div>
            <w:div w:id="1022165473">
              <w:marLeft w:val="0"/>
              <w:marRight w:val="0"/>
              <w:marTop w:val="120"/>
              <w:marBottom w:val="120"/>
              <w:divBdr>
                <w:top w:val="none" w:sz="0" w:space="0" w:color="auto"/>
                <w:left w:val="none" w:sz="0" w:space="0" w:color="auto"/>
                <w:bottom w:val="none" w:sz="0" w:space="0" w:color="auto"/>
                <w:right w:val="none" w:sz="0" w:space="0" w:color="auto"/>
              </w:divBdr>
            </w:div>
            <w:div w:id="278804114">
              <w:marLeft w:val="0"/>
              <w:marRight w:val="0"/>
              <w:marTop w:val="120"/>
              <w:marBottom w:val="120"/>
              <w:divBdr>
                <w:top w:val="none" w:sz="0" w:space="0" w:color="auto"/>
                <w:left w:val="none" w:sz="0" w:space="0" w:color="auto"/>
                <w:bottom w:val="single" w:sz="8" w:space="0" w:color="000000"/>
                <w:right w:val="none" w:sz="0" w:space="0" w:color="auto"/>
              </w:divBdr>
            </w:div>
            <w:div w:id="314920398">
              <w:marLeft w:val="0"/>
              <w:marRight w:val="0"/>
              <w:marTop w:val="120"/>
              <w:marBottom w:val="120"/>
              <w:divBdr>
                <w:top w:val="none" w:sz="0" w:space="0" w:color="auto"/>
                <w:left w:val="none" w:sz="0" w:space="0" w:color="auto"/>
                <w:bottom w:val="none" w:sz="0" w:space="0" w:color="auto"/>
                <w:right w:val="none" w:sz="0" w:space="0" w:color="auto"/>
              </w:divBdr>
            </w:div>
            <w:div w:id="1795515172">
              <w:marLeft w:val="0"/>
              <w:marRight w:val="0"/>
              <w:marTop w:val="120"/>
              <w:marBottom w:val="120"/>
              <w:divBdr>
                <w:top w:val="none" w:sz="0" w:space="0" w:color="auto"/>
                <w:left w:val="none" w:sz="0" w:space="0" w:color="auto"/>
                <w:bottom w:val="single" w:sz="8" w:space="0" w:color="000000"/>
                <w:right w:val="none" w:sz="0" w:space="0" w:color="auto"/>
              </w:divBdr>
            </w:div>
            <w:div w:id="1940988649">
              <w:marLeft w:val="0"/>
              <w:marRight w:val="0"/>
              <w:marTop w:val="120"/>
              <w:marBottom w:val="120"/>
              <w:divBdr>
                <w:top w:val="none" w:sz="0" w:space="0" w:color="auto"/>
                <w:left w:val="none" w:sz="0" w:space="0" w:color="auto"/>
                <w:bottom w:val="none" w:sz="0" w:space="0" w:color="auto"/>
                <w:right w:val="none" w:sz="0" w:space="0" w:color="auto"/>
              </w:divBdr>
            </w:div>
            <w:div w:id="1189836883">
              <w:marLeft w:val="0"/>
              <w:marRight w:val="0"/>
              <w:marTop w:val="120"/>
              <w:marBottom w:val="120"/>
              <w:divBdr>
                <w:top w:val="none" w:sz="0" w:space="0" w:color="auto"/>
                <w:left w:val="none" w:sz="0" w:space="0" w:color="auto"/>
                <w:bottom w:val="single" w:sz="8" w:space="0" w:color="000000"/>
                <w:right w:val="none" w:sz="0" w:space="0" w:color="auto"/>
              </w:divBdr>
            </w:div>
            <w:div w:id="646007839">
              <w:marLeft w:val="0"/>
              <w:marRight w:val="0"/>
              <w:marTop w:val="120"/>
              <w:marBottom w:val="120"/>
              <w:divBdr>
                <w:top w:val="none" w:sz="0" w:space="0" w:color="auto"/>
                <w:left w:val="none" w:sz="0" w:space="0" w:color="auto"/>
                <w:bottom w:val="none" w:sz="0" w:space="0" w:color="auto"/>
                <w:right w:val="none" w:sz="0" w:space="0" w:color="auto"/>
              </w:divBdr>
            </w:div>
            <w:div w:id="34820189">
              <w:marLeft w:val="0"/>
              <w:marRight w:val="0"/>
              <w:marTop w:val="120"/>
              <w:marBottom w:val="120"/>
              <w:divBdr>
                <w:top w:val="none" w:sz="0" w:space="0" w:color="auto"/>
                <w:left w:val="none" w:sz="0" w:space="0" w:color="auto"/>
                <w:bottom w:val="single" w:sz="8" w:space="0" w:color="000000"/>
                <w:right w:val="none" w:sz="0" w:space="0" w:color="auto"/>
              </w:divBdr>
            </w:div>
            <w:div w:id="281300976">
              <w:marLeft w:val="0"/>
              <w:marRight w:val="0"/>
              <w:marTop w:val="120"/>
              <w:marBottom w:val="120"/>
              <w:divBdr>
                <w:top w:val="none" w:sz="0" w:space="0" w:color="auto"/>
                <w:left w:val="none" w:sz="0" w:space="0" w:color="auto"/>
                <w:bottom w:val="none" w:sz="0" w:space="0" w:color="auto"/>
                <w:right w:val="none" w:sz="0" w:space="0" w:color="auto"/>
              </w:divBdr>
            </w:div>
            <w:div w:id="246504271">
              <w:marLeft w:val="0"/>
              <w:marRight w:val="0"/>
              <w:marTop w:val="120"/>
              <w:marBottom w:val="120"/>
              <w:divBdr>
                <w:top w:val="none" w:sz="0" w:space="0" w:color="auto"/>
                <w:left w:val="none" w:sz="0" w:space="0" w:color="auto"/>
                <w:bottom w:val="single" w:sz="8" w:space="0" w:color="00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8962</Words>
  <Characters>51089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1</cp:revision>
  <dcterms:created xsi:type="dcterms:W3CDTF">2017-02-07T22:10:00Z</dcterms:created>
  <dcterms:modified xsi:type="dcterms:W3CDTF">2017-02-07T22:12:00Z</dcterms:modified>
</cp:coreProperties>
</file>