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10800"/>
      </w:tblGrid>
      <w:tr w:rsidR="00BD0853" w:rsidRPr="00BD0853" w:rsidTr="00BD0853">
        <w:tc>
          <w:tcPr>
            <w:tcW w:w="5000" w:type="pct"/>
            <w:tcBorders>
              <w:bottom w:val="single" w:sz="24" w:space="0" w:color="000000"/>
            </w:tcBorders>
            <w:hideMark/>
          </w:tcPr>
          <w:p w:rsidR="00BD0853" w:rsidRPr="00BD0853" w:rsidRDefault="00BD0853" w:rsidP="00BD0853">
            <w:pPr>
              <w:spacing w:after="0" w:line="256" w:lineRule="auto"/>
              <w:jc w:val="center"/>
              <w:rPr>
                <w:rFonts w:ascii="Calibri" w:eastAsia="Times New Roman" w:hAnsi="Calibri" w:cs="Times New Roman"/>
                <w:sz w:val="8"/>
                <w:szCs w:val="8"/>
              </w:rPr>
            </w:pPr>
            <w:r w:rsidRPr="00BD0853">
              <w:rPr>
                <w:rFonts w:ascii="Calibri" w:eastAsia="Times New Roman" w:hAnsi="Calibri" w:cs="Times New Roman"/>
                <w:sz w:val="8"/>
                <w:szCs w:val="8"/>
              </w:rPr>
              <w:t> </w:t>
            </w:r>
          </w:p>
        </w:tc>
      </w:tr>
      <w:tr w:rsidR="00BD0853" w:rsidRPr="00BD0853" w:rsidTr="00BD0853">
        <w:tc>
          <w:tcPr>
            <w:tcW w:w="0" w:type="auto"/>
            <w:tcBorders>
              <w:bottom w:val="single" w:sz="8" w:space="0" w:color="000000"/>
            </w:tcBorders>
            <w:hideMark/>
          </w:tcPr>
          <w:p w:rsidR="00BD0853" w:rsidRPr="00BD0853" w:rsidRDefault="00BD0853" w:rsidP="00BD0853">
            <w:pPr>
              <w:spacing w:after="0" w:line="256" w:lineRule="auto"/>
              <w:jc w:val="center"/>
              <w:rPr>
                <w:rFonts w:ascii="Calibri" w:eastAsia="Times New Roman" w:hAnsi="Calibri" w:cs="Times New Roman"/>
                <w:sz w:val="8"/>
                <w:szCs w:val="8"/>
              </w:rPr>
            </w:pPr>
            <w:r w:rsidRPr="00BD0853">
              <w:rPr>
                <w:rFonts w:ascii="Calibri" w:eastAsia="Times New Roman" w:hAnsi="Calibri" w:cs="Times New Roman"/>
                <w:sz w:val="8"/>
                <w:szCs w:val="8"/>
              </w:rPr>
              <w:t> </w:t>
            </w:r>
          </w:p>
        </w:tc>
      </w:tr>
    </w:tbl>
    <w:p w:rsidR="00BD0853" w:rsidRPr="00BD0853" w:rsidRDefault="00BD0853" w:rsidP="00BD0853">
      <w:pPr>
        <w:spacing w:after="0" w:line="240" w:lineRule="auto"/>
        <w:jc w:val="center"/>
        <w:rPr>
          <w:rFonts w:ascii="Times New Roman" w:eastAsia="Times New Roman" w:hAnsi="Times New Roman" w:cs="Times New Roman"/>
          <w:sz w:val="28"/>
          <w:szCs w:val="28"/>
        </w:rPr>
      </w:pPr>
      <w:r w:rsidRPr="00BD0853">
        <w:rPr>
          <w:rFonts w:ascii="Times New Roman" w:eastAsia="Times New Roman" w:hAnsi="Times New Roman" w:cs="Times New Roman"/>
          <w:b/>
          <w:bCs/>
          <w:sz w:val="28"/>
          <w:szCs w:val="28"/>
        </w:rPr>
        <w:t>UNITED STATES</w:t>
      </w:r>
    </w:p>
    <w:p w:rsidR="00BD0853" w:rsidRPr="00BD0853" w:rsidRDefault="00BD0853" w:rsidP="00BD0853">
      <w:pPr>
        <w:spacing w:after="0" w:line="240" w:lineRule="auto"/>
        <w:jc w:val="center"/>
        <w:rPr>
          <w:rFonts w:ascii="Times New Roman" w:eastAsia="Times New Roman" w:hAnsi="Times New Roman" w:cs="Times New Roman"/>
          <w:sz w:val="28"/>
          <w:szCs w:val="28"/>
        </w:rPr>
      </w:pPr>
      <w:r w:rsidRPr="00BD0853">
        <w:rPr>
          <w:rFonts w:ascii="Times New Roman" w:eastAsia="Times New Roman" w:hAnsi="Times New Roman" w:cs="Times New Roman"/>
          <w:b/>
          <w:bCs/>
          <w:sz w:val="28"/>
          <w:szCs w:val="28"/>
        </w:rPr>
        <w:t>SECURITIES AND EXCHANGE COMMISSION</w:t>
      </w:r>
    </w:p>
    <w:p w:rsidR="00BD0853" w:rsidRPr="00BD0853" w:rsidRDefault="00BD0853" w:rsidP="00BD0853">
      <w:pPr>
        <w:spacing w:after="100" w:line="240" w:lineRule="auto"/>
        <w:jc w:val="center"/>
        <w:rPr>
          <w:rFonts w:ascii="Times New Roman" w:eastAsia="Times New Roman" w:hAnsi="Times New Roman" w:cs="Times New Roman"/>
        </w:rPr>
      </w:pPr>
      <w:r w:rsidRPr="00BD0853">
        <w:rPr>
          <w:rFonts w:ascii="Times New Roman" w:eastAsia="Times New Roman" w:hAnsi="Times New Roman" w:cs="Times New Roman"/>
          <w:b/>
          <w:bCs/>
        </w:rPr>
        <w:t>Washington, D.C.  20549</w:t>
      </w:r>
    </w:p>
    <w:p w:rsidR="00BD0853" w:rsidRPr="00BD0853" w:rsidRDefault="00BD0853" w:rsidP="00BD0853">
      <w:pPr>
        <w:spacing w:after="100" w:line="240" w:lineRule="auto"/>
        <w:jc w:val="center"/>
        <w:rPr>
          <w:rFonts w:ascii="Times New Roman" w:eastAsia="Times New Roman" w:hAnsi="Times New Roman" w:cs="Times New Roman"/>
          <w:sz w:val="32"/>
          <w:szCs w:val="32"/>
        </w:rPr>
      </w:pPr>
      <w:r w:rsidRPr="00BD0853">
        <w:rPr>
          <w:rFonts w:ascii="Times New Roman" w:eastAsia="Times New Roman" w:hAnsi="Times New Roman" w:cs="Times New Roman"/>
          <w:b/>
          <w:bCs/>
          <w:sz w:val="32"/>
          <w:szCs w:val="32"/>
        </w:rPr>
        <w:t>Form 10-Q</w:t>
      </w:r>
    </w:p>
    <w:p w:rsidR="00BD0853" w:rsidRPr="00BD0853" w:rsidRDefault="00BD0853" w:rsidP="00BD0853">
      <w:pPr>
        <w:spacing w:after="10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(Mark One) </w:t>
      </w:r>
    </w:p>
    <w:tbl>
      <w:tblPr>
        <w:tblW w:w="5000" w:type="pct"/>
        <w:tblCellMar>
          <w:left w:w="0" w:type="dxa"/>
          <w:right w:w="0" w:type="dxa"/>
        </w:tblCellMar>
        <w:tblLook w:val="04A0" w:firstRow="1" w:lastRow="0" w:firstColumn="1" w:lastColumn="0" w:noHBand="0" w:noVBand="1"/>
      </w:tblPr>
      <w:tblGrid>
        <w:gridCol w:w="300"/>
        <w:gridCol w:w="105"/>
        <w:gridCol w:w="10395"/>
      </w:tblGrid>
      <w:tr w:rsidR="00BD0853" w:rsidRPr="00BD0853" w:rsidTr="00BD0853">
        <w:tc>
          <w:tcPr>
            <w:tcW w:w="300" w:type="dxa"/>
            <w:hideMark/>
          </w:tcPr>
          <w:p w:rsidR="00BD0853" w:rsidRPr="00BD0853" w:rsidRDefault="00BD0853" w:rsidP="00BD0853">
            <w:pPr>
              <w:spacing w:after="0" w:line="240" w:lineRule="auto"/>
              <w:jc w:val="right"/>
              <w:rPr>
                <w:rFonts w:ascii="Times New Roman" w:eastAsia="Times New Roman" w:hAnsi="Times New Roman" w:cs="Times New Roman"/>
              </w:rPr>
            </w:pPr>
            <w:r w:rsidRPr="00BD0853">
              <w:rPr>
                <w:rFonts w:ascii="Segoe UI Symbol" w:eastAsia="Times New Roman" w:hAnsi="Segoe UI Symbol" w:cs="Segoe UI Symbol"/>
              </w:rPr>
              <w:t>☒</w:t>
            </w:r>
          </w:p>
        </w:tc>
        <w:tc>
          <w:tcPr>
            <w:tcW w:w="105" w:type="dxa"/>
            <w:hideMark/>
          </w:tcPr>
          <w:p w:rsidR="00BD0853" w:rsidRPr="00BD0853" w:rsidRDefault="00BD0853" w:rsidP="00BD0853">
            <w:pPr>
              <w:spacing w:after="0" w:line="240" w:lineRule="auto"/>
              <w:rPr>
                <w:rFonts w:ascii="Times New Roman" w:eastAsia="Times New Roman" w:hAnsi="Times New Roman" w:cs="Times New Roman"/>
                <w:sz w:val="24"/>
                <w:szCs w:val="24"/>
              </w:rPr>
            </w:pPr>
            <w:r w:rsidRPr="00BD0853">
              <w:rPr>
                <w:rFonts w:ascii="Times New Roman" w:eastAsia="Times New Roman" w:hAnsi="Times New Roman" w:cs="Times New Roman"/>
                <w:sz w:val="24"/>
                <w:szCs w:val="24"/>
              </w:rPr>
              <w:t> </w:t>
            </w:r>
          </w:p>
        </w:tc>
        <w:tc>
          <w:tcPr>
            <w:tcW w:w="0" w:type="auto"/>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QUARTERLY REPORT PURSUANT TO SECTION 13 OR 15(d) OF THE SECURITIES EXCHANGE ACT OF 1934</w:t>
            </w:r>
          </w:p>
        </w:tc>
      </w:tr>
    </w:tbl>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For the quarterly period ended: March 31, 2017</w:t>
      </w:r>
    </w:p>
    <w:p w:rsidR="00BD0853" w:rsidRPr="00BD0853" w:rsidRDefault="00BD0853" w:rsidP="00BD0853">
      <w:pPr>
        <w:spacing w:after="0" w:line="240" w:lineRule="auto"/>
        <w:ind w:firstLine="720"/>
        <w:jc w:val="center"/>
        <w:rPr>
          <w:rFonts w:ascii="Times New Roman" w:eastAsia="Times New Roman" w:hAnsi="Times New Roman" w:cs="Times New Roman"/>
          <w:sz w:val="14"/>
          <w:szCs w:val="14"/>
        </w:rPr>
      </w:pPr>
      <w:r w:rsidRPr="00BD0853">
        <w:rPr>
          <w:rFonts w:ascii="Times New Roman" w:eastAsia="Times New Roman" w:hAnsi="Times New Roman" w:cs="Times New Roman"/>
          <w:sz w:val="14"/>
          <w:szCs w:val="14"/>
        </w:rPr>
        <w:t> </w:t>
      </w:r>
    </w:p>
    <w:tbl>
      <w:tblPr>
        <w:tblW w:w="5000" w:type="pct"/>
        <w:tblCellMar>
          <w:left w:w="0" w:type="dxa"/>
          <w:right w:w="0" w:type="dxa"/>
        </w:tblCellMar>
        <w:tblLook w:val="04A0" w:firstRow="1" w:lastRow="0" w:firstColumn="1" w:lastColumn="0" w:noHBand="0" w:noVBand="1"/>
      </w:tblPr>
      <w:tblGrid>
        <w:gridCol w:w="300"/>
        <w:gridCol w:w="105"/>
        <w:gridCol w:w="10395"/>
      </w:tblGrid>
      <w:tr w:rsidR="00BD0853" w:rsidRPr="00BD0853" w:rsidTr="00BD0853">
        <w:tc>
          <w:tcPr>
            <w:tcW w:w="300" w:type="dxa"/>
            <w:tcMar>
              <w:top w:w="0" w:type="dxa"/>
              <w:left w:w="0" w:type="dxa"/>
              <w:bottom w:w="120" w:type="dxa"/>
              <w:right w:w="0" w:type="dxa"/>
            </w:tcMar>
            <w:hideMark/>
          </w:tcPr>
          <w:p w:rsidR="00BD0853" w:rsidRPr="00BD0853" w:rsidRDefault="00BD0853" w:rsidP="00BD0853">
            <w:pPr>
              <w:spacing w:after="0" w:line="240" w:lineRule="auto"/>
              <w:jc w:val="right"/>
              <w:rPr>
                <w:rFonts w:ascii="Times New Roman" w:eastAsia="Times New Roman" w:hAnsi="Times New Roman" w:cs="Times New Roman"/>
              </w:rPr>
            </w:pPr>
            <w:r w:rsidRPr="00BD0853">
              <w:rPr>
                <w:rFonts w:ascii="Segoe UI Symbol" w:eastAsia="Times New Roman" w:hAnsi="Segoe UI Symbol" w:cs="Segoe UI Symbol"/>
              </w:rPr>
              <w:t>☐</w:t>
            </w:r>
          </w:p>
        </w:tc>
        <w:tc>
          <w:tcPr>
            <w:tcW w:w="105" w:type="dxa"/>
            <w:hideMark/>
          </w:tcPr>
          <w:p w:rsidR="00BD0853" w:rsidRPr="00BD0853" w:rsidRDefault="00BD0853" w:rsidP="00BD0853">
            <w:pPr>
              <w:spacing w:after="0" w:line="240" w:lineRule="auto"/>
              <w:rPr>
                <w:rFonts w:ascii="Times New Roman" w:eastAsia="Times New Roman" w:hAnsi="Times New Roman" w:cs="Times New Roman"/>
                <w:sz w:val="24"/>
                <w:szCs w:val="24"/>
              </w:rPr>
            </w:pPr>
            <w:r w:rsidRPr="00BD0853">
              <w:rPr>
                <w:rFonts w:ascii="Times New Roman" w:eastAsia="Times New Roman" w:hAnsi="Times New Roman" w:cs="Times New Roman"/>
                <w:sz w:val="24"/>
                <w:szCs w:val="24"/>
              </w:rPr>
              <w:t> </w:t>
            </w:r>
          </w:p>
        </w:tc>
        <w:tc>
          <w:tcPr>
            <w:tcW w:w="0" w:type="auto"/>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TRANSITION REPORT PURSUANT TO SECTION 13 OR 15(d) OF THE SECURITIES EXCHANGE ACT OF 1934</w:t>
            </w:r>
          </w:p>
        </w:tc>
      </w:tr>
    </w:tbl>
    <w:p w:rsidR="00BD0853" w:rsidRPr="00BD0853" w:rsidRDefault="00BD0853" w:rsidP="00BD0853">
      <w:pPr>
        <w:spacing w:after="100" w:line="240" w:lineRule="auto"/>
        <w:jc w:val="center"/>
        <w:rPr>
          <w:rFonts w:ascii="Times New Roman" w:eastAsia="Times New Roman" w:hAnsi="Times New Roman" w:cs="Times New Roman"/>
          <w:sz w:val="36"/>
          <w:szCs w:val="36"/>
        </w:rPr>
      </w:pPr>
      <w:r w:rsidRPr="00BD0853">
        <w:rPr>
          <w:rFonts w:ascii="Times New Roman" w:eastAsia="Times New Roman" w:hAnsi="Times New Roman" w:cs="Times New Roman"/>
          <w:sz w:val="20"/>
          <w:szCs w:val="20"/>
        </w:rPr>
        <w:t>For the transition period from ____________to _____________</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Commission File Number: </w:t>
      </w:r>
      <w:r w:rsidRPr="00BD0853">
        <w:rPr>
          <w:rFonts w:ascii="Times New Roman" w:eastAsia="Times New Roman" w:hAnsi="Times New Roman" w:cs="Times New Roman"/>
          <w:b/>
          <w:bCs/>
          <w:sz w:val="20"/>
          <w:szCs w:val="20"/>
          <w:u w:val="single"/>
        </w:rPr>
        <w:t>333-190635</w:t>
      </w:r>
    </w:p>
    <w:p w:rsidR="00BD0853" w:rsidRPr="00BD0853" w:rsidRDefault="00BD0853" w:rsidP="00BD0853">
      <w:pPr>
        <w:spacing w:after="0" w:line="240" w:lineRule="auto"/>
        <w:jc w:val="center"/>
        <w:rPr>
          <w:rFonts w:ascii="Times New Roman" w:eastAsia="Times New Roman" w:hAnsi="Times New Roman" w:cs="Times New Roman"/>
          <w:sz w:val="36"/>
          <w:szCs w:val="36"/>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36"/>
          <w:szCs w:val="36"/>
        </w:rPr>
      </w:pPr>
      <w:r w:rsidRPr="00BD0853">
        <w:rPr>
          <w:rFonts w:ascii="Times New Roman" w:eastAsia="Times New Roman" w:hAnsi="Times New Roman" w:cs="Times New Roman"/>
          <w:b/>
          <w:bCs/>
          <w:sz w:val="36"/>
          <w:szCs w:val="36"/>
          <w:u w:val="single"/>
        </w:rPr>
        <w:t>BIOVIE INC. (F/K/A NANOANTIBIOTICS, INC)</w:t>
      </w:r>
    </w:p>
    <w:p w:rsidR="00BD0853" w:rsidRPr="00BD0853" w:rsidRDefault="00BD0853" w:rsidP="00BD0853">
      <w:pPr>
        <w:spacing w:after="10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(Exact name of registrant as specified in its charter</w:t>
      </w:r>
      <w:r w:rsidRPr="00BD0853">
        <w:rPr>
          <w:rFonts w:ascii="Times New Roman" w:eastAsia="Times New Roman" w:hAnsi="Times New Roman" w:cs="Times New Roman"/>
          <w:b/>
          <w:bCs/>
          <w:i/>
          <w:iCs/>
          <w:sz w:val="20"/>
          <w:szCs w:val="20"/>
        </w:rPr>
        <w:t>)</w:t>
      </w:r>
    </w:p>
    <w:tbl>
      <w:tblPr>
        <w:tblW w:w="9360" w:type="dxa"/>
        <w:jc w:val="center"/>
        <w:tblCellMar>
          <w:left w:w="0" w:type="dxa"/>
          <w:right w:w="0" w:type="dxa"/>
        </w:tblCellMar>
        <w:tblLook w:val="04A0" w:firstRow="1" w:lastRow="0" w:firstColumn="1" w:lastColumn="0" w:noHBand="0" w:noVBand="1"/>
      </w:tblPr>
      <w:tblGrid>
        <w:gridCol w:w="4212"/>
        <w:gridCol w:w="936"/>
        <w:gridCol w:w="4212"/>
      </w:tblGrid>
      <w:tr w:rsidR="00BD0853" w:rsidRPr="00BD0853" w:rsidTr="00BD0853">
        <w:trPr>
          <w:jc w:val="center"/>
        </w:trPr>
        <w:tc>
          <w:tcPr>
            <w:tcW w:w="2250" w:type="pct"/>
            <w:tcBorders>
              <w:bottom w:val="single" w:sz="8" w:space="0" w:color="000000"/>
            </w:tcBorders>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Nevada</w:t>
            </w:r>
          </w:p>
        </w:tc>
        <w:tc>
          <w:tcPr>
            <w:tcW w:w="500" w:type="pct"/>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250" w:type="pct"/>
            <w:tcBorders>
              <w:bottom w:val="single" w:sz="8" w:space="0" w:color="000000"/>
            </w:tcBorders>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46-2510769</w:t>
            </w:r>
          </w:p>
        </w:tc>
      </w:tr>
      <w:tr w:rsidR="00BD0853" w:rsidRPr="00BD0853" w:rsidTr="00BD0853">
        <w:trPr>
          <w:jc w:val="center"/>
        </w:trPr>
        <w:tc>
          <w:tcPr>
            <w:tcW w:w="0" w:type="auto"/>
            <w:hideMark/>
          </w:tcPr>
          <w:p w:rsidR="00BD0853" w:rsidRPr="00BD0853" w:rsidRDefault="00BD0853" w:rsidP="00BD0853">
            <w:pPr>
              <w:spacing w:after="0" w:line="256" w:lineRule="auto"/>
              <w:jc w:val="center"/>
              <w:rPr>
                <w:rFonts w:ascii="Times New Roman" w:eastAsia="Times New Roman" w:hAnsi="Times New Roman" w:cs="Times New Roman"/>
                <w:sz w:val="18"/>
                <w:szCs w:val="18"/>
              </w:rPr>
            </w:pPr>
            <w:r w:rsidRPr="00BD0853">
              <w:rPr>
                <w:rFonts w:ascii="Times" w:eastAsia="Times New Roman" w:hAnsi="Times" w:cs="Times"/>
                <w:i/>
                <w:iCs/>
                <w:sz w:val="18"/>
                <w:szCs w:val="18"/>
              </w:rPr>
              <w:t>(State or other jurisdiction of</w:t>
            </w:r>
            <w:r w:rsidRPr="00BD0853">
              <w:rPr>
                <w:rFonts w:ascii="Times New Roman" w:eastAsia="Times New Roman" w:hAnsi="Times New Roman" w:cs="Times New Roman"/>
                <w:i/>
                <w:iCs/>
                <w:sz w:val="18"/>
                <w:szCs w:val="18"/>
              </w:rPr>
              <w:t xml:space="preserve"> incorporation or organization)</w:t>
            </w:r>
          </w:p>
        </w:tc>
        <w:tc>
          <w:tcPr>
            <w:tcW w:w="0" w:type="auto"/>
            <w:hideMark/>
          </w:tcPr>
          <w:p w:rsidR="00BD0853" w:rsidRPr="00BD0853" w:rsidRDefault="00BD0853" w:rsidP="00BD0853">
            <w:pPr>
              <w:spacing w:after="0" w:line="256" w:lineRule="auto"/>
              <w:jc w:val="center"/>
              <w:rPr>
                <w:rFonts w:ascii="Times New Roman" w:eastAsia="Times New Roman" w:hAnsi="Times New Roman" w:cs="Times New Roman"/>
                <w:sz w:val="18"/>
                <w:szCs w:val="18"/>
              </w:rPr>
            </w:pPr>
            <w:r w:rsidRPr="00BD0853">
              <w:rPr>
                <w:rFonts w:ascii="Times New Roman" w:eastAsia="Times New Roman" w:hAnsi="Times New Roman" w:cs="Times New Roman"/>
                <w:sz w:val="18"/>
                <w:szCs w:val="18"/>
              </w:rPr>
              <w:t> </w:t>
            </w:r>
          </w:p>
        </w:tc>
        <w:tc>
          <w:tcPr>
            <w:tcW w:w="0" w:type="auto"/>
            <w:hideMark/>
          </w:tcPr>
          <w:p w:rsidR="00BD0853" w:rsidRPr="00BD0853" w:rsidRDefault="00BD0853" w:rsidP="00BD0853">
            <w:pPr>
              <w:spacing w:after="0" w:line="256" w:lineRule="auto"/>
              <w:jc w:val="center"/>
              <w:rPr>
                <w:rFonts w:ascii="Times New Roman" w:eastAsia="Times New Roman" w:hAnsi="Times New Roman" w:cs="Times New Roman"/>
                <w:sz w:val="18"/>
                <w:szCs w:val="18"/>
              </w:rPr>
            </w:pPr>
            <w:r w:rsidRPr="00BD0853">
              <w:rPr>
                <w:rFonts w:ascii="Times New Roman" w:eastAsia="Times New Roman" w:hAnsi="Times New Roman" w:cs="Times New Roman"/>
                <w:i/>
                <w:iCs/>
                <w:sz w:val="18"/>
                <w:szCs w:val="18"/>
              </w:rPr>
              <w:t>(I.R.S. Employer Identification No.)</w:t>
            </w:r>
          </w:p>
        </w:tc>
      </w:tr>
    </w:tbl>
    <w:p w:rsidR="00BD0853" w:rsidRPr="00BD0853" w:rsidRDefault="00BD0853" w:rsidP="00BD0853">
      <w:pPr>
        <w:spacing w:after="0" w:line="240" w:lineRule="auto"/>
        <w:ind w:firstLine="720"/>
        <w:jc w:val="both"/>
        <w:rPr>
          <w:rFonts w:ascii="Times New Roman" w:eastAsia="Times New Roman" w:hAnsi="Times New Roman" w:cs="Times New Roman"/>
        </w:rPr>
      </w:pPr>
      <w:r w:rsidRPr="00BD0853">
        <w:rPr>
          <w:rFonts w:ascii="Times New Roman" w:eastAsia="Times New Roman" w:hAnsi="Times New Roman" w:cs="Times New Roman"/>
        </w:rPr>
        <w:t> </w:t>
      </w:r>
    </w:p>
    <w:tbl>
      <w:tblPr>
        <w:tblW w:w="4320" w:type="dxa"/>
        <w:jc w:val="center"/>
        <w:tblCellMar>
          <w:left w:w="0" w:type="dxa"/>
          <w:right w:w="0" w:type="dxa"/>
        </w:tblCellMar>
        <w:tblLook w:val="04A0" w:firstRow="1" w:lastRow="0" w:firstColumn="1" w:lastColumn="0" w:noHBand="0" w:noVBand="1"/>
      </w:tblPr>
      <w:tblGrid>
        <w:gridCol w:w="4320"/>
      </w:tblGrid>
      <w:tr w:rsidR="00BD0853" w:rsidRPr="00BD0853" w:rsidTr="00BD0853">
        <w:trPr>
          <w:jc w:val="center"/>
        </w:trPr>
        <w:tc>
          <w:tcPr>
            <w:tcW w:w="5000" w:type="pct"/>
            <w:vAlign w:val="center"/>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100 Cummings Center, Suite 247-C</w:t>
            </w:r>
          </w:p>
        </w:tc>
      </w:tr>
      <w:tr w:rsidR="00BD0853" w:rsidRPr="00BD0853" w:rsidTr="00BD0853">
        <w:trPr>
          <w:jc w:val="center"/>
        </w:trPr>
        <w:tc>
          <w:tcPr>
            <w:tcW w:w="0" w:type="auto"/>
            <w:tcBorders>
              <w:bottom w:val="single" w:sz="8" w:space="0" w:color="000000"/>
            </w:tcBorders>
            <w:vAlign w:val="center"/>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Beverly, MA 01915</w:t>
            </w:r>
          </w:p>
        </w:tc>
      </w:tr>
      <w:tr w:rsidR="00BD0853" w:rsidRPr="00BD0853" w:rsidTr="00BD0853">
        <w:trPr>
          <w:jc w:val="center"/>
        </w:trPr>
        <w:tc>
          <w:tcPr>
            <w:tcW w:w="0" w:type="auto"/>
            <w:vAlign w:val="center"/>
            <w:hideMark/>
          </w:tcPr>
          <w:p w:rsidR="00BD0853" w:rsidRPr="00BD0853" w:rsidRDefault="00BD0853" w:rsidP="00BD0853">
            <w:pPr>
              <w:spacing w:after="0" w:line="256" w:lineRule="auto"/>
              <w:jc w:val="center"/>
              <w:rPr>
                <w:rFonts w:ascii="Times New Roman" w:eastAsia="Times New Roman" w:hAnsi="Times New Roman" w:cs="Times New Roman"/>
                <w:sz w:val="18"/>
                <w:szCs w:val="18"/>
              </w:rPr>
            </w:pPr>
            <w:r w:rsidRPr="00BD0853">
              <w:rPr>
                <w:rFonts w:ascii="Times New Roman" w:eastAsia="Times New Roman" w:hAnsi="Times New Roman" w:cs="Times New Roman"/>
                <w:i/>
                <w:iCs/>
                <w:sz w:val="18"/>
                <w:szCs w:val="18"/>
              </w:rPr>
              <w:t>(Address of principal executive offices, Zip Code)</w:t>
            </w:r>
          </w:p>
        </w:tc>
      </w:tr>
      <w:tr w:rsidR="00BD0853" w:rsidRPr="00BD0853" w:rsidTr="00BD0853">
        <w:trPr>
          <w:jc w:val="center"/>
        </w:trPr>
        <w:tc>
          <w:tcPr>
            <w:tcW w:w="0" w:type="auto"/>
            <w:vAlign w:val="center"/>
            <w:hideMark/>
          </w:tcPr>
          <w:p w:rsidR="00BD0853" w:rsidRPr="00BD0853" w:rsidRDefault="00BD0853" w:rsidP="00BD0853">
            <w:pPr>
              <w:spacing w:after="0" w:line="240" w:lineRule="auto"/>
              <w:jc w:val="center"/>
              <w:rPr>
                <w:rFonts w:ascii="Times New Roman" w:eastAsia="Times New Roman" w:hAnsi="Times New Roman" w:cs="Times New Roman"/>
              </w:rPr>
            </w:pPr>
            <w:r w:rsidRPr="00BD0853">
              <w:rPr>
                <w:rFonts w:ascii="Times New Roman" w:eastAsia="Times New Roman" w:hAnsi="Times New Roman" w:cs="Times New Roman"/>
              </w:rPr>
              <w:t> </w:t>
            </w:r>
          </w:p>
        </w:tc>
      </w:tr>
      <w:tr w:rsidR="00BD0853" w:rsidRPr="00BD0853" w:rsidTr="00BD0853">
        <w:trPr>
          <w:jc w:val="center"/>
        </w:trPr>
        <w:tc>
          <w:tcPr>
            <w:tcW w:w="0" w:type="auto"/>
            <w:tcBorders>
              <w:bottom w:val="single" w:sz="8" w:space="0" w:color="000000"/>
            </w:tcBorders>
            <w:vAlign w:val="center"/>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(312)-283-5793</w:t>
            </w:r>
          </w:p>
        </w:tc>
      </w:tr>
      <w:tr w:rsidR="00BD0853" w:rsidRPr="00BD0853" w:rsidTr="00BD0853">
        <w:trPr>
          <w:jc w:val="center"/>
        </w:trPr>
        <w:tc>
          <w:tcPr>
            <w:tcW w:w="0" w:type="auto"/>
            <w:vAlign w:val="center"/>
            <w:hideMark/>
          </w:tcPr>
          <w:p w:rsidR="00BD0853" w:rsidRPr="00BD0853" w:rsidRDefault="00BD0853" w:rsidP="00BD0853">
            <w:pPr>
              <w:spacing w:after="0" w:line="256" w:lineRule="auto"/>
              <w:jc w:val="center"/>
              <w:rPr>
                <w:rFonts w:ascii="Times New Roman" w:eastAsia="Times New Roman" w:hAnsi="Times New Roman" w:cs="Times New Roman"/>
                <w:sz w:val="18"/>
                <w:szCs w:val="18"/>
              </w:rPr>
            </w:pPr>
            <w:r w:rsidRPr="00BD0853">
              <w:rPr>
                <w:rFonts w:ascii="Times New Roman" w:eastAsia="Times New Roman" w:hAnsi="Times New Roman" w:cs="Times New Roman"/>
                <w:i/>
                <w:iCs/>
                <w:sz w:val="18"/>
                <w:szCs w:val="18"/>
              </w:rPr>
              <w:t>(Registrant's telephone number, including area code)</w:t>
            </w:r>
          </w:p>
        </w:tc>
      </w:tr>
      <w:tr w:rsidR="00BD0853" w:rsidRPr="00BD0853" w:rsidTr="00BD0853">
        <w:trPr>
          <w:jc w:val="center"/>
        </w:trPr>
        <w:tc>
          <w:tcPr>
            <w:tcW w:w="0" w:type="auto"/>
            <w:vAlign w:val="center"/>
            <w:hideMark/>
          </w:tcPr>
          <w:p w:rsidR="00BD0853" w:rsidRPr="00BD0853" w:rsidRDefault="00BD0853" w:rsidP="00BD0853">
            <w:pPr>
              <w:spacing w:after="0" w:line="240" w:lineRule="auto"/>
              <w:jc w:val="center"/>
              <w:rPr>
                <w:rFonts w:ascii="Times New Roman" w:eastAsia="Times New Roman" w:hAnsi="Times New Roman" w:cs="Times New Roman"/>
              </w:rPr>
            </w:pPr>
            <w:r w:rsidRPr="00BD0853">
              <w:rPr>
                <w:rFonts w:ascii="Times New Roman" w:eastAsia="Times New Roman" w:hAnsi="Times New Roman" w:cs="Times New Roman"/>
              </w:rPr>
              <w:t> </w:t>
            </w:r>
          </w:p>
        </w:tc>
      </w:tr>
      <w:tr w:rsidR="00BD0853" w:rsidRPr="00BD0853" w:rsidTr="00BD0853">
        <w:trPr>
          <w:jc w:val="center"/>
        </w:trPr>
        <w:tc>
          <w:tcPr>
            <w:tcW w:w="0" w:type="auto"/>
            <w:vAlign w:val="center"/>
            <w:hideMark/>
          </w:tcPr>
          <w:p w:rsidR="00BD0853" w:rsidRPr="00BD0853" w:rsidRDefault="00BD0853" w:rsidP="00BD0853">
            <w:pPr>
              <w:spacing w:after="0" w:line="240" w:lineRule="auto"/>
              <w:rPr>
                <w:rFonts w:ascii="Times New Roman" w:eastAsia="Times New Roman" w:hAnsi="Times New Roman" w:cs="Times New Roman"/>
              </w:rPr>
            </w:pPr>
          </w:p>
        </w:tc>
      </w:tr>
      <w:tr w:rsidR="00BD0853" w:rsidRPr="00BD0853" w:rsidTr="00BD0853">
        <w:trPr>
          <w:jc w:val="center"/>
        </w:trPr>
        <w:tc>
          <w:tcPr>
            <w:tcW w:w="0" w:type="auto"/>
            <w:tcBorders>
              <w:bottom w:val="single" w:sz="8" w:space="0" w:color="000000"/>
            </w:tcBorders>
            <w:vAlign w:val="center"/>
            <w:hideMark/>
          </w:tcPr>
          <w:p w:rsidR="00BD0853" w:rsidRPr="00BD0853" w:rsidRDefault="00BD0853" w:rsidP="00BD0853">
            <w:pPr>
              <w:spacing w:after="0" w:line="240" w:lineRule="auto"/>
              <w:jc w:val="center"/>
              <w:rPr>
                <w:rFonts w:ascii="Times New Roman" w:eastAsia="Times New Roman" w:hAnsi="Times New Roman" w:cs="Times New Roman"/>
              </w:rPr>
            </w:pPr>
            <w:r w:rsidRPr="00BD0853">
              <w:rPr>
                <w:rFonts w:ascii="Times New Roman" w:eastAsia="Times New Roman" w:hAnsi="Times New Roman" w:cs="Times New Roman"/>
                <w:b/>
                <w:bCs/>
                <w:sz w:val="20"/>
                <w:szCs w:val="20"/>
              </w:rPr>
              <w:t>NANOANTIBIOTICS, INC.</w:t>
            </w:r>
          </w:p>
        </w:tc>
      </w:tr>
      <w:tr w:rsidR="00BD0853" w:rsidRPr="00BD0853" w:rsidTr="00BD0853">
        <w:trPr>
          <w:jc w:val="center"/>
        </w:trPr>
        <w:tc>
          <w:tcPr>
            <w:tcW w:w="0" w:type="auto"/>
            <w:vAlign w:val="center"/>
            <w:hideMark/>
          </w:tcPr>
          <w:p w:rsidR="00BD0853" w:rsidRPr="00BD0853" w:rsidRDefault="00BD0853" w:rsidP="00BD0853">
            <w:pPr>
              <w:spacing w:after="0" w:line="240" w:lineRule="auto"/>
              <w:jc w:val="center"/>
              <w:rPr>
                <w:rFonts w:ascii="Times New Roman" w:eastAsia="Times New Roman" w:hAnsi="Times New Roman" w:cs="Times New Roman"/>
              </w:rPr>
            </w:pPr>
            <w:r w:rsidRPr="00BD0853">
              <w:rPr>
                <w:rFonts w:ascii="Times New Roman" w:eastAsia="Times New Roman" w:hAnsi="Times New Roman" w:cs="Times New Roman"/>
                <w:i/>
                <w:iCs/>
                <w:sz w:val="18"/>
                <w:szCs w:val="18"/>
              </w:rPr>
              <w:t>(Former Name, Former Address and Former Fiscal Year if Changed Since Last Report)</w:t>
            </w:r>
          </w:p>
        </w:tc>
      </w:tr>
    </w:tbl>
    <w:p w:rsidR="00BD0853" w:rsidRPr="00BD0853" w:rsidRDefault="00BD0853" w:rsidP="00BD0853">
      <w:pPr>
        <w:spacing w:after="0" w:line="240" w:lineRule="auto"/>
        <w:ind w:firstLine="720"/>
        <w:jc w:val="both"/>
        <w:rPr>
          <w:rFonts w:ascii="Times New Roman" w:eastAsia="Times New Roman" w:hAnsi="Times New Roman" w:cs="Times New Roman"/>
          <w:sz w:val="14"/>
          <w:szCs w:val="14"/>
        </w:rPr>
      </w:pPr>
      <w:r w:rsidRPr="00BD0853">
        <w:rPr>
          <w:rFonts w:ascii="Times New Roman" w:eastAsia="Times New Roman" w:hAnsi="Times New Roman" w:cs="Times New Roman"/>
          <w:sz w:val="14"/>
          <w:szCs w:val="14"/>
        </w:rPr>
        <w:t> </w:t>
      </w:r>
      <w:r w:rsidRPr="00BD0853">
        <w:rPr>
          <w:rFonts w:ascii="Times New Roman" w:eastAsia="Times New Roman" w:hAnsi="Times New Roman" w:cs="Times New Roman"/>
          <w:b/>
          <w:bCs/>
          <w:sz w:val="14"/>
          <w:szCs w:val="14"/>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Indicate by check mark whether the registrant (1) has filed all reports required to be filed by Section 13 or 15(d) of the Exchange Act during the past 12 months (or for such shorter period that the registrant was required to file such reports), and (2) has been subject to such filing requirements for the past 90 days.</w:t>
      </w:r>
    </w:p>
    <w:p w:rsidR="00BD0853" w:rsidRPr="00BD0853" w:rsidRDefault="00BD0853" w:rsidP="00BD0853">
      <w:pPr>
        <w:spacing w:after="0" w:line="240" w:lineRule="auto"/>
        <w:ind w:firstLine="720"/>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Yes </w:t>
      </w:r>
      <w:r w:rsidRPr="00BD0853">
        <w:rPr>
          <w:rFonts w:ascii="Segoe UI Symbol" w:eastAsia="Times New Roman" w:hAnsi="Segoe UI Symbol" w:cs="Segoe UI Symbol"/>
          <w:sz w:val="20"/>
          <w:szCs w:val="20"/>
        </w:rPr>
        <w:t>☒</w:t>
      </w:r>
      <w:r w:rsidRPr="00BD0853">
        <w:rPr>
          <w:rFonts w:ascii="Times New Roman" w:eastAsia="Times New Roman" w:hAnsi="Times New Roman" w:cs="Times New Roman"/>
          <w:sz w:val="20"/>
          <w:szCs w:val="20"/>
        </w:rPr>
        <w:t xml:space="preserve">                                          No </w:t>
      </w:r>
      <w:r w:rsidRPr="00BD0853">
        <w:rPr>
          <w:rFonts w:ascii="Segoe UI Symbol" w:eastAsia="Times New Roman" w:hAnsi="Segoe UI Symbol" w:cs="Segoe UI Symbol"/>
          <w:sz w:val="20"/>
          <w:szCs w:val="20"/>
        </w:rPr>
        <w:t>☐</w:t>
      </w:r>
    </w:p>
    <w:p w:rsidR="00BD0853" w:rsidRPr="00BD0853" w:rsidRDefault="00BD0853" w:rsidP="00BD0853">
      <w:pPr>
        <w:spacing w:after="0" w:line="240" w:lineRule="auto"/>
        <w:ind w:firstLine="720"/>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Indicate by check mark whether the registrant has submitted electronically and posted on its corporate Web site, if any, every Interactive Data File required to be submitted and posted pursuant to Rule 405 of Regulation S-T (§ 232.405 of this chapter) during the preceding 12 months (or for such shorter period that the registrant was required to submit and post such files).</w:t>
      </w:r>
    </w:p>
    <w:p w:rsidR="00BD0853" w:rsidRPr="00BD0853" w:rsidRDefault="00BD0853" w:rsidP="00BD0853">
      <w:pPr>
        <w:spacing w:after="0" w:line="240" w:lineRule="auto"/>
        <w:ind w:firstLine="720"/>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Yes </w:t>
      </w:r>
      <w:r w:rsidRPr="00BD0853">
        <w:rPr>
          <w:rFonts w:ascii="Segoe UI Symbol" w:eastAsia="Times New Roman" w:hAnsi="Segoe UI Symbol" w:cs="Segoe UI Symbol"/>
          <w:sz w:val="20"/>
          <w:szCs w:val="20"/>
        </w:rPr>
        <w:t>☒</w:t>
      </w:r>
      <w:r w:rsidRPr="00BD0853">
        <w:rPr>
          <w:rFonts w:ascii="Times New Roman" w:eastAsia="Times New Roman" w:hAnsi="Times New Roman" w:cs="Times New Roman"/>
          <w:sz w:val="20"/>
          <w:szCs w:val="20"/>
        </w:rPr>
        <w:t xml:space="preserve">                                          No </w:t>
      </w:r>
      <w:r w:rsidRPr="00BD0853">
        <w:rPr>
          <w:rFonts w:ascii="Segoe UI Symbol" w:eastAsia="Times New Roman" w:hAnsi="Segoe UI Symbol" w:cs="Segoe UI Symbol"/>
          <w:sz w:val="20"/>
          <w:szCs w:val="20"/>
        </w:rPr>
        <w:t>☐</w:t>
      </w:r>
    </w:p>
    <w:p w:rsidR="00BD0853" w:rsidRPr="00BD0853" w:rsidRDefault="00BD0853" w:rsidP="00BD0853">
      <w:pPr>
        <w:spacing w:after="0" w:line="240" w:lineRule="auto"/>
        <w:ind w:firstLine="720"/>
        <w:jc w:val="both"/>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Indicate by check mark whether the registrant is a large accelerated filer, an accelerated filer, a non-accelerated filer, or a smaller reporting company.  See the definitions of “large accelerated filer,” “accelerated filer” and “smaller reporting company” in Rule 12b-2 of the Exchange Act.</w:t>
      </w:r>
    </w:p>
    <w:p w:rsidR="00BD0853" w:rsidRPr="00BD0853" w:rsidRDefault="00BD0853" w:rsidP="00BD0853">
      <w:pPr>
        <w:spacing w:after="0" w:line="240" w:lineRule="auto"/>
        <w:ind w:firstLine="720"/>
        <w:jc w:val="both"/>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tbl>
      <w:tblPr>
        <w:tblW w:w="9360" w:type="dxa"/>
        <w:tblCellMar>
          <w:left w:w="0" w:type="dxa"/>
          <w:right w:w="0" w:type="dxa"/>
        </w:tblCellMar>
        <w:tblLook w:val="04A0" w:firstRow="1" w:lastRow="0" w:firstColumn="1" w:lastColumn="0" w:noHBand="0" w:noVBand="1"/>
      </w:tblPr>
      <w:tblGrid>
        <w:gridCol w:w="4680"/>
        <w:gridCol w:w="468"/>
        <w:gridCol w:w="2621"/>
        <w:gridCol w:w="1591"/>
      </w:tblGrid>
      <w:tr w:rsidR="00BD0853" w:rsidRPr="00BD0853" w:rsidTr="00BD0853">
        <w:tc>
          <w:tcPr>
            <w:tcW w:w="2500" w:type="pct"/>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Large accelerated filer</w:t>
            </w:r>
          </w:p>
        </w:tc>
        <w:tc>
          <w:tcPr>
            <w:tcW w:w="250" w:type="pct"/>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r w:rsidRPr="00BD0853">
              <w:rPr>
                <w:rFonts w:ascii="Segoe UI Symbol" w:eastAsia="Times New Roman" w:hAnsi="Segoe UI Symbol" w:cs="Segoe UI Symbol"/>
                <w:sz w:val="20"/>
                <w:szCs w:val="20"/>
              </w:rPr>
              <w:t>☐</w:t>
            </w:r>
          </w:p>
        </w:tc>
        <w:tc>
          <w:tcPr>
            <w:tcW w:w="1400" w:type="pct"/>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Accelerated filer</w:t>
            </w:r>
          </w:p>
        </w:tc>
        <w:tc>
          <w:tcPr>
            <w:tcW w:w="850" w:type="pct"/>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r w:rsidRPr="00BD0853">
              <w:rPr>
                <w:rFonts w:ascii="Segoe UI Symbol" w:eastAsia="Times New Roman" w:hAnsi="Segoe UI Symbol" w:cs="Segoe UI Symbol"/>
                <w:sz w:val="20"/>
                <w:szCs w:val="20"/>
              </w:rPr>
              <w:t>☐</w:t>
            </w:r>
          </w:p>
        </w:tc>
      </w:tr>
      <w:tr w:rsidR="00BD0853" w:rsidRPr="00BD0853" w:rsidTr="00BD0853">
        <w:tc>
          <w:tcPr>
            <w:tcW w:w="0" w:type="auto"/>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Non-accelerated filer</w:t>
            </w:r>
          </w:p>
          <w:p w:rsidR="00BD0853" w:rsidRPr="00BD0853" w:rsidRDefault="00BD0853" w:rsidP="00BD0853">
            <w:pPr>
              <w:spacing w:after="0" w:line="240" w:lineRule="auto"/>
              <w:rPr>
                <w:rFonts w:ascii="Times New Roman" w:eastAsia="Times New Roman" w:hAnsi="Times New Roman" w:cs="Times New Roman"/>
                <w:sz w:val="16"/>
                <w:szCs w:val="16"/>
              </w:rPr>
            </w:pPr>
            <w:r w:rsidRPr="00BD0853">
              <w:rPr>
                <w:rFonts w:ascii="Times New Roman" w:eastAsia="Times New Roman" w:hAnsi="Times New Roman" w:cs="Times New Roman"/>
                <w:sz w:val="16"/>
                <w:szCs w:val="16"/>
              </w:rPr>
              <w:t> (Do not check if a smaller reporting company)</w:t>
            </w:r>
          </w:p>
        </w:tc>
        <w:tc>
          <w:tcPr>
            <w:tcW w:w="0" w:type="auto"/>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r w:rsidRPr="00BD0853">
              <w:rPr>
                <w:rFonts w:ascii="Segoe UI Symbol" w:eastAsia="Times New Roman" w:hAnsi="Segoe UI Symbol" w:cs="Segoe UI Symbol"/>
                <w:sz w:val="20"/>
                <w:szCs w:val="20"/>
              </w:rPr>
              <w:t>☐</w:t>
            </w:r>
          </w:p>
        </w:tc>
        <w:tc>
          <w:tcPr>
            <w:tcW w:w="0" w:type="auto"/>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Smaller reporting company</w:t>
            </w:r>
          </w:p>
        </w:tc>
        <w:tc>
          <w:tcPr>
            <w:tcW w:w="0" w:type="auto"/>
            <w:hideMark/>
          </w:tcPr>
          <w:p w:rsidR="00BD0853" w:rsidRPr="00BD0853" w:rsidRDefault="00BD0853" w:rsidP="00BD0853">
            <w:pPr>
              <w:spacing w:after="0" w:line="25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r w:rsidRPr="00BD0853">
              <w:rPr>
                <w:rFonts w:ascii="Segoe UI Symbol" w:eastAsia="Times New Roman" w:hAnsi="Segoe UI Symbol" w:cs="Segoe UI Symbol"/>
                <w:sz w:val="20"/>
                <w:szCs w:val="20"/>
              </w:rPr>
              <w:t>☒</w:t>
            </w:r>
          </w:p>
        </w:tc>
      </w:tr>
    </w:tbl>
    <w:p w:rsidR="00BD0853" w:rsidRPr="00BD0853" w:rsidRDefault="00BD0853" w:rsidP="00BD0853">
      <w:pPr>
        <w:spacing w:after="0" w:line="240" w:lineRule="auto"/>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Indicate by check mark whether the registrant is a shell company (as defined in Rule 12b-2 of the Exchange Act).</w:t>
      </w:r>
    </w:p>
    <w:p w:rsidR="00BD0853" w:rsidRPr="00BD0853" w:rsidRDefault="00BD0853" w:rsidP="00BD0853">
      <w:pPr>
        <w:spacing w:after="0" w:line="240" w:lineRule="auto"/>
        <w:ind w:firstLine="720"/>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Yes </w:t>
      </w:r>
      <w:r w:rsidRPr="00BD0853">
        <w:rPr>
          <w:rFonts w:ascii="MS Mincho" w:eastAsia="MS Mincho" w:hAnsi="MS Mincho" w:cs="Times New Roman" w:hint="eastAsia"/>
          <w:sz w:val="20"/>
          <w:szCs w:val="20"/>
        </w:rPr>
        <w:t>☐</w:t>
      </w:r>
      <w:r w:rsidRPr="00BD0853">
        <w:rPr>
          <w:rFonts w:ascii="Times New Roman" w:eastAsia="Times New Roman" w:hAnsi="Times New Roman" w:cs="Times New Roman"/>
          <w:sz w:val="20"/>
          <w:szCs w:val="20"/>
        </w:rPr>
        <w:t xml:space="preserve">                                          No </w:t>
      </w:r>
      <w:r w:rsidRPr="00BD0853">
        <w:rPr>
          <w:rFonts w:ascii="Segoe UI Symbol" w:eastAsia="Times New Roman" w:hAnsi="Segoe UI Symbol" w:cs="Segoe UI Symbol"/>
          <w:sz w:val="20"/>
          <w:szCs w:val="20"/>
        </w:rPr>
        <w:t>☒</w:t>
      </w:r>
    </w:p>
    <w:p w:rsidR="00BD0853" w:rsidRPr="00BD0853" w:rsidRDefault="00BD0853" w:rsidP="00BD0853">
      <w:pPr>
        <w:spacing w:after="0" w:line="240" w:lineRule="auto"/>
        <w:jc w:val="center"/>
        <w:rPr>
          <w:rFonts w:ascii="Times New Roman" w:eastAsia="Times New Roman" w:hAnsi="Times New Roman" w:cs="Times New Roman"/>
          <w:sz w:val="10"/>
          <w:szCs w:val="10"/>
        </w:rPr>
      </w:pPr>
      <w:r w:rsidRPr="00BD0853">
        <w:rPr>
          <w:rFonts w:ascii="Times New Roman" w:eastAsia="Times New Roman" w:hAnsi="Times New Roman" w:cs="Times New Roman"/>
          <w:sz w:val="10"/>
          <w:szCs w:val="1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number of shares outstanding of each of the issuer's classes of common equity, as of March 31, 2017 was 91,685,000.</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0800"/>
      </w:tblGrid>
      <w:tr w:rsidR="00BD0853" w:rsidRPr="00BD0853" w:rsidTr="00BD0853">
        <w:tc>
          <w:tcPr>
            <w:tcW w:w="5000" w:type="pct"/>
            <w:tcBorders>
              <w:bottom w:val="single" w:sz="8" w:space="0" w:color="000000"/>
            </w:tcBorders>
            <w:hideMark/>
          </w:tcPr>
          <w:p w:rsidR="00BD0853" w:rsidRPr="00BD0853" w:rsidRDefault="00BD0853" w:rsidP="00BD0853">
            <w:pPr>
              <w:spacing w:after="0" w:line="256" w:lineRule="auto"/>
              <w:jc w:val="center"/>
              <w:rPr>
                <w:rFonts w:ascii="Calibri" w:eastAsia="Times New Roman" w:hAnsi="Calibri" w:cs="Times New Roman"/>
                <w:sz w:val="8"/>
                <w:szCs w:val="8"/>
              </w:rPr>
            </w:pPr>
            <w:r w:rsidRPr="00BD0853">
              <w:rPr>
                <w:rFonts w:ascii="Calibri" w:eastAsia="Times New Roman" w:hAnsi="Calibri" w:cs="Times New Roman"/>
                <w:sz w:val="8"/>
                <w:szCs w:val="8"/>
              </w:rPr>
              <w:t> </w:t>
            </w:r>
          </w:p>
        </w:tc>
      </w:tr>
      <w:tr w:rsidR="00BD0853" w:rsidRPr="00BD0853" w:rsidTr="00BD0853">
        <w:tc>
          <w:tcPr>
            <w:tcW w:w="0" w:type="auto"/>
            <w:tcBorders>
              <w:bottom w:val="single" w:sz="24" w:space="0" w:color="000000"/>
            </w:tcBorders>
            <w:hideMark/>
          </w:tcPr>
          <w:p w:rsidR="00BD0853" w:rsidRPr="00BD0853" w:rsidRDefault="00BD0853" w:rsidP="00BD0853">
            <w:pPr>
              <w:spacing w:after="0" w:line="256" w:lineRule="auto"/>
              <w:jc w:val="center"/>
              <w:rPr>
                <w:rFonts w:ascii="Calibri" w:eastAsia="Times New Roman" w:hAnsi="Calibri" w:cs="Times New Roman"/>
                <w:sz w:val="8"/>
                <w:szCs w:val="8"/>
              </w:rPr>
            </w:pPr>
            <w:r w:rsidRPr="00BD0853">
              <w:rPr>
                <w:rFonts w:ascii="Calibri" w:eastAsia="Times New Roman" w:hAnsi="Calibri" w:cs="Times New Roman"/>
                <w:sz w:val="8"/>
                <w:szCs w:val="8"/>
              </w:rPr>
              <w:t> </w:t>
            </w:r>
          </w:p>
        </w:tc>
      </w:tr>
    </w:tbl>
    <w:p w:rsidR="00BD0853" w:rsidRDefault="00BD0853" w:rsidP="00BD0853">
      <w:pPr>
        <w:spacing w:after="200" w:line="276" w:lineRule="auto"/>
        <w:jc w:val="center"/>
        <w:rPr>
          <w:rFonts w:ascii="Times New Roman" w:eastAsia="Times New Roman" w:hAnsi="Times New Roman" w:cs="Times New Roman"/>
          <w:b/>
          <w:bCs/>
          <w:sz w:val="20"/>
          <w:szCs w:val="20"/>
        </w:rPr>
      </w:pPr>
      <w:bookmarkStart w:id="0" w:name="toc"/>
      <w:bookmarkEnd w:id="0"/>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200" w:line="276"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TABLE OF CONTENTS</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PART I – FINANCIAL INFORMATION</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64"/>
        <w:gridCol w:w="9072"/>
        <w:gridCol w:w="864"/>
      </w:tblGrid>
      <w:tr w:rsidR="00BD0853" w:rsidRPr="00BD0853" w:rsidTr="00BD0853">
        <w:tc>
          <w:tcPr>
            <w:tcW w:w="400" w:type="pct"/>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1.</w:t>
            </w:r>
          </w:p>
        </w:tc>
        <w:tc>
          <w:tcPr>
            <w:tcW w:w="4200" w:type="pct"/>
            <w:hideMark/>
          </w:tcPr>
          <w:p w:rsidR="00BD0853" w:rsidRPr="00BD0853" w:rsidRDefault="00BD0853" w:rsidP="00BD0853">
            <w:pPr>
              <w:spacing w:after="0" w:line="276" w:lineRule="auto"/>
              <w:rPr>
                <w:rFonts w:ascii="Calibri" w:eastAsia="Times New Roman" w:hAnsi="Calibri" w:cs="Times New Roman"/>
              </w:rPr>
            </w:pPr>
            <w:hyperlink w:anchor="a_001" w:history="1">
              <w:r w:rsidRPr="00BD0853">
                <w:rPr>
                  <w:rFonts w:ascii="Times New Roman" w:eastAsia="Times New Roman" w:hAnsi="Times New Roman" w:cs="Times New Roman"/>
                  <w:color w:val="0000FF"/>
                  <w:sz w:val="20"/>
                  <w:szCs w:val="20"/>
                  <w:u w:val="single"/>
                </w:rPr>
                <w:t>Financial Statements (unaudited)</w:t>
              </w:r>
            </w:hyperlink>
          </w:p>
        </w:tc>
        <w:tc>
          <w:tcPr>
            <w:tcW w:w="400" w:type="pct"/>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11" w:history="1">
              <w:r w:rsidRPr="00BD0853">
                <w:rPr>
                  <w:rFonts w:ascii="Times New Roman" w:eastAsia="Times New Roman" w:hAnsi="Times New Roman" w:cs="Times New Roman"/>
                  <w:color w:val="0000FF"/>
                  <w:sz w:val="20"/>
                  <w:szCs w:val="20"/>
                  <w:u w:val="single"/>
                </w:rPr>
                <w:t>Balance Sheets as of March 31, 2017 (unaudited) and June 30, 2016 (audited)</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12" w:history="1">
              <w:r w:rsidRPr="00BD0853">
                <w:rPr>
                  <w:rFonts w:ascii="Times New Roman" w:eastAsia="Times New Roman" w:hAnsi="Times New Roman" w:cs="Times New Roman"/>
                  <w:color w:val="0000FF"/>
                  <w:sz w:val="20"/>
                  <w:szCs w:val="20"/>
                  <w:u w:val="single"/>
                </w:rPr>
                <w:t>Statements of Operations (unaudited) for the three and nine months ended March 31, 2017 and 2016</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3</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13" w:history="1">
              <w:r w:rsidRPr="00BD0853">
                <w:rPr>
                  <w:rFonts w:ascii="Times New Roman" w:eastAsia="Times New Roman" w:hAnsi="Times New Roman" w:cs="Times New Roman"/>
                  <w:color w:val="0000FF"/>
                  <w:sz w:val="20"/>
                  <w:szCs w:val="20"/>
                  <w:u w:val="single"/>
                </w:rPr>
                <w:t>Statement of Changes in Shareholders’ Equity for the period to March 31, 2017</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4</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14" w:history="1">
              <w:r w:rsidRPr="00BD0853">
                <w:rPr>
                  <w:rFonts w:ascii="Times New Roman" w:eastAsia="Times New Roman" w:hAnsi="Times New Roman" w:cs="Times New Roman"/>
                  <w:color w:val="0000FF"/>
                  <w:sz w:val="20"/>
                  <w:szCs w:val="20"/>
                  <w:u w:val="single"/>
                </w:rPr>
                <w:t>Statements of Cash Flows (unaudited) for the nine months ended March 31, 2017 and 2016</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5</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15" w:history="1">
              <w:r w:rsidRPr="00BD0853">
                <w:rPr>
                  <w:rFonts w:ascii="Times New Roman" w:eastAsia="Times New Roman" w:hAnsi="Times New Roman" w:cs="Times New Roman"/>
                  <w:color w:val="0000FF"/>
                  <w:sz w:val="20"/>
                  <w:szCs w:val="20"/>
                  <w:u w:val="single"/>
                </w:rPr>
                <w:t>Notes to Financial Statements (unaudited)</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6</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2.</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2" w:history="1">
              <w:r w:rsidRPr="00BD0853">
                <w:rPr>
                  <w:rFonts w:ascii="Times New Roman" w:eastAsia="Times New Roman" w:hAnsi="Times New Roman" w:cs="Times New Roman"/>
                  <w:color w:val="0000FF"/>
                  <w:sz w:val="20"/>
                  <w:szCs w:val="20"/>
                  <w:u w:val="single"/>
                </w:rPr>
                <w:t>Management’s Discussion and Analysis of Financial Condition of and Results of Operations</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18</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3.</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3" w:history="1">
              <w:r w:rsidRPr="00BD0853">
                <w:rPr>
                  <w:rFonts w:ascii="Times New Roman" w:eastAsia="Times New Roman" w:hAnsi="Times New Roman" w:cs="Times New Roman"/>
                  <w:color w:val="0000FF"/>
                  <w:sz w:val="20"/>
                  <w:szCs w:val="20"/>
                  <w:u w:val="single"/>
                </w:rPr>
                <w:t>Quantitative and Qualitative Disclosures About Market Risk</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22</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4.</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4" w:history="1">
              <w:r w:rsidRPr="00BD0853">
                <w:rPr>
                  <w:rFonts w:ascii="Times New Roman" w:eastAsia="Times New Roman" w:hAnsi="Times New Roman" w:cs="Times New Roman"/>
                  <w:color w:val="0000FF"/>
                  <w:sz w:val="20"/>
                  <w:szCs w:val="20"/>
                  <w:u w:val="single"/>
                </w:rPr>
                <w:t>Controls and Procedures</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22</w:t>
            </w:r>
          </w:p>
        </w:tc>
      </w:tr>
    </w:tbl>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PART II – OTHER INFORMATION</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864"/>
        <w:gridCol w:w="9072"/>
        <w:gridCol w:w="864"/>
      </w:tblGrid>
      <w:tr w:rsidR="00BD0853" w:rsidRPr="00BD0853" w:rsidTr="00BD0853">
        <w:tc>
          <w:tcPr>
            <w:tcW w:w="400" w:type="pct"/>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1.</w:t>
            </w:r>
          </w:p>
        </w:tc>
        <w:tc>
          <w:tcPr>
            <w:tcW w:w="4200" w:type="pct"/>
            <w:hideMark/>
          </w:tcPr>
          <w:p w:rsidR="00BD0853" w:rsidRPr="00BD0853" w:rsidRDefault="00BD0853" w:rsidP="00BD0853">
            <w:pPr>
              <w:spacing w:after="0" w:line="276" w:lineRule="auto"/>
              <w:rPr>
                <w:rFonts w:ascii="Calibri" w:eastAsia="Times New Roman" w:hAnsi="Calibri" w:cs="Times New Roman"/>
              </w:rPr>
            </w:pPr>
            <w:hyperlink w:anchor="a_005" w:history="1">
              <w:r w:rsidRPr="00BD0853">
                <w:rPr>
                  <w:rFonts w:ascii="Times New Roman" w:eastAsia="Times New Roman" w:hAnsi="Times New Roman" w:cs="Times New Roman"/>
                  <w:color w:val="0000FF"/>
                  <w:sz w:val="20"/>
                  <w:szCs w:val="20"/>
                  <w:u w:val="single"/>
                </w:rPr>
                <w:t>Legal Proceedings</w:t>
              </w:r>
            </w:hyperlink>
          </w:p>
        </w:tc>
        <w:tc>
          <w:tcPr>
            <w:tcW w:w="400" w:type="pct"/>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23</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2.</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6" w:history="1">
              <w:r w:rsidRPr="00BD0853">
                <w:rPr>
                  <w:rFonts w:ascii="Times New Roman" w:eastAsia="Times New Roman" w:hAnsi="Times New Roman" w:cs="Times New Roman"/>
                  <w:color w:val="0000FF"/>
                  <w:sz w:val="20"/>
                  <w:szCs w:val="20"/>
                  <w:u w:val="single"/>
                </w:rPr>
                <w:t>Unregistered Sales of Equity Securities and Use of Proceeds</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23</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3.</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7" w:history="1">
              <w:r w:rsidRPr="00BD0853">
                <w:rPr>
                  <w:rFonts w:ascii="Times New Roman" w:eastAsia="Times New Roman" w:hAnsi="Times New Roman" w:cs="Times New Roman"/>
                  <w:color w:val="0000FF"/>
                  <w:sz w:val="20"/>
                  <w:szCs w:val="20"/>
                  <w:u w:val="single"/>
                </w:rPr>
                <w:t>Defaults Upon Senior Securities</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23</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4.</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8" w:history="1">
              <w:r w:rsidRPr="00BD0853">
                <w:rPr>
                  <w:rFonts w:ascii="Times New Roman" w:eastAsia="Times New Roman" w:hAnsi="Times New Roman" w:cs="Times New Roman"/>
                  <w:color w:val="0000FF"/>
                  <w:sz w:val="20"/>
                  <w:szCs w:val="20"/>
                  <w:u w:val="single"/>
                </w:rPr>
                <w:t>Mine Safety Disclosures</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  23</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5.</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09" w:history="1">
              <w:r w:rsidRPr="00BD0853">
                <w:rPr>
                  <w:rFonts w:ascii="Times New Roman" w:eastAsia="Times New Roman" w:hAnsi="Times New Roman" w:cs="Times New Roman"/>
                  <w:color w:val="0000FF"/>
                  <w:sz w:val="20"/>
                  <w:szCs w:val="20"/>
                  <w:u w:val="single"/>
                </w:rPr>
                <w:t>Other Information</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  23</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Item 6.</w:t>
            </w:r>
          </w:p>
        </w:tc>
        <w:tc>
          <w:tcPr>
            <w:tcW w:w="0" w:type="auto"/>
            <w:hideMark/>
          </w:tcPr>
          <w:p w:rsidR="00BD0853" w:rsidRPr="00BD0853" w:rsidRDefault="00BD0853" w:rsidP="00BD0853">
            <w:pPr>
              <w:spacing w:after="0" w:line="276" w:lineRule="auto"/>
              <w:rPr>
                <w:rFonts w:ascii="Calibri" w:eastAsia="Times New Roman" w:hAnsi="Calibri" w:cs="Times New Roman"/>
              </w:rPr>
            </w:pPr>
            <w:hyperlink w:anchor="a_010" w:history="1">
              <w:r w:rsidRPr="00BD0853">
                <w:rPr>
                  <w:rFonts w:ascii="Times New Roman" w:eastAsia="Times New Roman" w:hAnsi="Times New Roman" w:cs="Times New Roman"/>
                  <w:color w:val="0000FF"/>
                  <w:sz w:val="20"/>
                  <w:szCs w:val="20"/>
                  <w:u w:val="single"/>
                </w:rPr>
                <w:t>Exhibits</w:t>
              </w:r>
            </w:hyperlink>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  23</w:t>
            </w:r>
          </w:p>
        </w:tc>
      </w:tr>
      <w:tr w:rsidR="00BD0853" w:rsidRPr="00BD0853" w:rsidTr="00BD0853">
        <w:tc>
          <w:tcPr>
            <w:tcW w:w="0" w:type="auto"/>
            <w:vAlign w:val="center"/>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center"/>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center"/>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gridSpan w:val="2"/>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SIGNATURES</w:t>
            </w:r>
          </w:p>
        </w:tc>
        <w:tc>
          <w:tcPr>
            <w:tcW w:w="0" w:type="auto"/>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24</w:t>
            </w:r>
          </w:p>
        </w:tc>
      </w:tr>
    </w:tbl>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FORWARD-LOOKING STATEMENTS</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p>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w:t>
      </w:r>
      <w:proofErr w:type="gramStart"/>
      <w:r w:rsidRPr="00BD0853">
        <w:rPr>
          <w:rFonts w:ascii="Times New Roman" w:eastAsia="Times New Roman" w:hAnsi="Times New Roman" w:cs="Times New Roman"/>
          <w:sz w:val="20"/>
          <w:szCs w:val="20"/>
        </w:rPr>
        <w:t>as a result of</w:t>
      </w:r>
      <w:proofErr w:type="gramEnd"/>
      <w:r w:rsidRPr="00BD0853">
        <w:rPr>
          <w:rFonts w:ascii="Times New Roman" w:eastAsia="Times New Roman" w:hAnsi="Times New Roman" w:cs="Times New Roman"/>
          <w:sz w:val="20"/>
          <w:szCs w:val="20"/>
        </w:rPr>
        <w:t xml:space="preserve">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xml:space="preserve">”, “Company”, “we”, “our”, and “us” refer to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Inc.</w:t>
      </w:r>
    </w:p>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p w:rsidR="00BD0853" w:rsidRDefault="00BD085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lastRenderedPageBreak/>
        <w:t>Part 1.  Financial Information</w:t>
      </w:r>
    </w:p>
    <w:p w:rsidR="00BD0853" w:rsidRPr="00BD0853" w:rsidRDefault="00BD0853" w:rsidP="00BD0853">
      <w:pPr>
        <w:spacing w:after="0" w:line="240" w:lineRule="auto"/>
        <w:rPr>
          <w:rFonts w:ascii="Times New Roman" w:eastAsia="Times New Roman" w:hAnsi="Times New Roman" w:cs="Times New Roman"/>
          <w:sz w:val="20"/>
          <w:szCs w:val="20"/>
        </w:rPr>
      </w:pPr>
      <w:bookmarkStart w:id="1" w:name="a_001"/>
      <w:bookmarkEnd w:id="1"/>
      <w:r w:rsidRPr="00BD0853">
        <w:rPr>
          <w:rFonts w:ascii="Times New Roman" w:eastAsia="Times New Roman" w:hAnsi="Times New Roman" w:cs="Times New Roman"/>
          <w:sz w:val="20"/>
          <w:szCs w:val="20"/>
        </w:rPr>
        <w:t>Item 1.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u w:val="single"/>
        </w:rPr>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bookmarkStart w:id="2" w:name="a_011"/>
      <w:bookmarkEnd w:id="2"/>
      <w:r w:rsidRPr="00BD0853">
        <w:rPr>
          <w:rFonts w:ascii="Times New Roman" w:eastAsia="Times New Roman" w:hAnsi="Times New Roman" w:cs="Times New Roman"/>
          <w:b/>
          <w:bCs/>
          <w:sz w:val="20"/>
          <w:szCs w:val="20"/>
          <w:u w:val="single"/>
        </w:rPr>
        <w:t>BALANCE SHEETS</w:t>
      </w:r>
    </w:p>
    <w:p w:rsidR="00BD0853" w:rsidRPr="00BD0853" w:rsidRDefault="00BD0853" w:rsidP="00BD0853">
      <w:pPr>
        <w:spacing w:after="0" w:line="240" w:lineRule="auto"/>
        <w:ind w:left="1440"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6048"/>
        <w:gridCol w:w="864"/>
        <w:gridCol w:w="108"/>
        <w:gridCol w:w="1296"/>
        <w:gridCol w:w="108"/>
        <w:gridCol w:w="864"/>
        <w:gridCol w:w="108"/>
        <w:gridCol w:w="1296"/>
        <w:gridCol w:w="108"/>
      </w:tblGrid>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June 30,</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2016</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ASSETS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(audited)</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CURRENT ASSETS: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2800" w:type="pct"/>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Cash</w:t>
            </w:r>
          </w:p>
        </w:tc>
        <w:tc>
          <w:tcPr>
            <w:tcW w:w="4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6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35,309</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4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6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123,757</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Prepaid expenses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6,982</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Total Current Assets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35,309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130,739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proofErr w:type="gramStart"/>
            <w:r w:rsidRPr="00BD0853">
              <w:rPr>
                <w:rFonts w:ascii="Times New Roman" w:eastAsia="Times New Roman" w:hAnsi="Times New Roman" w:cs="Times New Roman"/>
                <w:b/>
                <w:bCs/>
                <w:sz w:val="20"/>
                <w:szCs w:val="20"/>
              </w:rPr>
              <w:t>OTHER  ASSETS</w:t>
            </w:r>
            <w:proofErr w:type="gramEnd"/>
            <w:r w:rsidRPr="00BD0853">
              <w:rPr>
                <w:rFonts w:ascii="Times New Roman" w:eastAsia="Times New Roman" w:hAnsi="Times New Roman" w:cs="Times New Roman"/>
                <w:b/>
                <w:bCs/>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Intangible Assets (Net of Amortization)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2,070,701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2,242,734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Goodwill</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Total Other Assets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2,416,413</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2,588,445</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TOTAL ASSETS</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2,451,722</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LIABILITIES AND STOCKHOLDERS' DEFICIT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CURRENT LIABILITIES: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Accounts Payable and accrued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330,118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293,633</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Related Party Loan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62,500</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499,612</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Total Current Liabilities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402,618</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803,245</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LONG TERM LIABILITIES: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Other Long Term Liabilities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Total Long Term Liabilities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575,917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STOCKHOLDERS' EQUITY (DEFICIT)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Preferred stock; $0.001 par value; 10,000,000 shares authorized; 0 shares issued and outstanding</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Common stock, $0.0001 par value; 300,000,000 shares authorized; shares issued and 91,685,000 and 87,160,001 shares issued and outstanding, respectively</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9,168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8,716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Additional paid in capital</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3,365,991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2,911,559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     Receivable </w:t>
            </w:r>
            <w:proofErr w:type="gramStart"/>
            <w:r w:rsidRPr="00BD0853">
              <w:rPr>
                <w:rFonts w:ascii="Times New Roman" w:eastAsia="Times New Roman" w:hAnsi="Times New Roman" w:cs="Times New Roman"/>
                <w:sz w:val="20"/>
                <w:szCs w:val="20"/>
              </w:rPr>
              <w:t>on account of</w:t>
            </w:r>
            <w:proofErr w:type="gramEnd"/>
            <w:r w:rsidRPr="00BD0853">
              <w:rPr>
                <w:rFonts w:ascii="Times New Roman" w:eastAsia="Times New Roman" w:hAnsi="Times New Roman" w:cs="Times New Roman"/>
                <w:sz w:val="20"/>
                <w:szCs w:val="20"/>
              </w:rPr>
              <w:t xml:space="preserve"> shares issued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Accumulated deficit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(1,891,973</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(1,004,336</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4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Total Stockholders' Equity (Deficit)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1,473,187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1,915,939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TOTAL LIABILITIES AND STOCKHOLDERS' EQUITY (DEFICIT)</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2,451,722</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2,719,184</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See accompanying notes to financial statement</w:t>
      </w:r>
    </w:p>
    <w:p w:rsidR="00BD0853" w:rsidRPr="00BD0853" w:rsidRDefault="00BD0853" w:rsidP="00BD0853">
      <w:pPr>
        <w:spacing w:after="200" w:line="276" w:lineRule="auto"/>
        <w:rPr>
          <w:rFonts w:ascii="Times New Roman" w:eastAsia="Times New Roman" w:hAnsi="Times New Roman" w:cs="Times New Roman"/>
          <w:sz w:val="24"/>
          <w:szCs w:val="24"/>
        </w:rPr>
      </w:pPr>
      <w:r w:rsidRPr="00BD0853">
        <w:rPr>
          <w:rFonts w:ascii="Times New Roman" w:eastAsia="Times New Roman" w:hAnsi="Times New Roman" w:cs="Times New Roman"/>
          <w:b/>
          <w:bCs/>
          <w:sz w:val="24"/>
          <w:szCs w:val="24"/>
        </w:rPr>
        <w:t> </w:t>
      </w:r>
    </w:p>
    <w:p w:rsidR="00BD0853" w:rsidRDefault="00BD0853">
      <w:pP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u w:val="single"/>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bookmarkStart w:id="3" w:name="a_012"/>
      <w:bookmarkEnd w:id="3"/>
      <w:r w:rsidRPr="00BD0853">
        <w:rPr>
          <w:rFonts w:ascii="Times New Roman" w:eastAsia="Times New Roman" w:hAnsi="Times New Roman" w:cs="Times New Roman"/>
          <w:b/>
          <w:bCs/>
          <w:sz w:val="20"/>
          <w:szCs w:val="20"/>
          <w:u w:val="single"/>
        </w:rPr>
        <w:t>STATEMENT OF OPERATIONS (UNAUDITED)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4320"/>
        <w:gridCol w:w="324"/>
        <w:gridCol w:w="108"/>
        <w:gridCol w:w="1080"/>
        <w:gridCol w:w="108"/>
        <w:gridCol w:w="324"/>
        <w:gridCol w:w="108"/>
        <w:gridCol w:w="1080"/>
        <w:gridCol w:w="108"/>
        <w:gridCol w:w="324"/>
        <w:gridCol w:w="108"/>
        <w:gridCol w:w="1080"/>
        <w:gridCol w:w="108"/>
        <w:gridCol w:w="324"/>
        <w:gridCol w:w="108"/>
        <w:gridCol w:w="1080"/>
        <w:gridCol w:w="108"/>
      </w:tblGrid>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For the Three Months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For the Three Months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For the Nine Months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For the Nine Months</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Ended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Ended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Ended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Ended</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2016</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REVENUE: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Sales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COST OF GOODS SOLD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GROSS MARGIN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OPERATING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2000" w:type="pct"/>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Amortization</w:t>
            </w:r>
          </w:p>
        </w:tc>
        <w:tc>
          <w:tcPr>
            <w:tcW w:w="1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57,344</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172,033</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Research and development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120,043</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375,872</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Payroll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71,348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40,369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214,044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121,107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Professional fees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126,098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14,949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312,277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32,966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Selling, general and administrative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25,693</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2,536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35,453</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8,336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TOTAL OPERATING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400,527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57,854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1,109,680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162,409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LOSS FROM OPERATIONS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(400,527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(57,854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(1,109,680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(162,409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OTHER EXPENSE (INCOME)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Other Income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(222,028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(222,028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Interest expense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Interest income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(155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TOTAL OTHER EXPENSE (INCOME)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(222,031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(222,042</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(155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NET LOSS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(178,495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(57,810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(887,637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(162,254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NET LOSS PER COMMON SHARE, BASIC AND DILUTED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(0.01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WEIGHTED AVERAGE NUMBER OF</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proofErr w:type="gramStart"/>
            <w:r w:rsidRPr="00BD0853">
              <w:rPr>
                <w:rFonts w:ascii="Times New Roman" w:eastAsia="Times New Roman" w:hAnsi="Times New Roman" w:cs="Times New Roman"/>
                <w:b/>
                <w:bCs/>
                <w:sz w:val="20"/>
                <w:szCs w:val="20"/>
              </w:rPr>
              <w:t>COMMON  SHARES</w:t>
            </w:r>
            <w:proofErr w:type="gramEnd"/>
            <w:r w:rsidRPr="00BD0853">
              <w:rPr>
                <w:rFonts w:ascii="Times New Roman" w:eastAsia="Times New Roman" w:hAnsi="Times New Roman" w:cs="Times New Roman"/>
                <w:b/>
                <w:bCs/>
                <w:sz w:val="20"/>
                <w:szCs w:val="20"/>
              </w:rPr>
              <w:t xml:space="preserve"> OUTSTANDING, BASIC AND DILUTED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91,493,146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87,210,000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88,591,685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87,210,000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See accompanying notes to financial statement</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Default="00BD0853">
      <w:pP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u w:val="single"/>
        </w:rPr>
        <w:lastRenderedPageBreak/>
        <w:t>BIOVIE INC. (/K/A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bookmarkStart w:id="4" w:name="a_013"/>
      <w:bookmarkEnd w:id="4"/>
      <w:r w:rsidRPr="00BD0853">
        <w:rPr>
          <w:rFonts w:ascii="Times New Roman" w:eastAsia="Times New Roman" w:hAnsi="Times New Roman" w:cs="Times New Roman"/>
          <w:b/>
          <w:bCs/>
          <w:sz w:val="20"/>
          <w:szCs w:val="20"/>
          <w:u w:val="single"/>
        </w:rPr>
        <w:t>STATEMENT OF STOCKHOLDERS’ EQUITY</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3351"/>
        <w:gridCol w:w="56"/>
        <w:gridCol w:w="50"/>
        <w:gridCol w:w="967"/>
        <w:gridCol w:w="67"/>
        <w:gridCol w:w="56"/>
        <w:gridCol w:w="113"/>
        <w:gridCol w:w="564"/>
        <w:gridCol w:w="112"/>
        <w:gridCol w:w="56"/>
        <w:gridCol w:w="131"/>
        <w:gridCol w:w="800"/>
        <w:gridCol w:w="130"/>
        <w:gridCol w:w="56"/>
        <w:gridCol w:w="132"/>
        <w:gridCol w:w="659"/>
        <w:gridCol w:w="131"/>
        <w:gridCol w:w="56"/>
        <w:gridCol w:w="112"/>
        <w:gridCol w:w="619"/>
        <w:gridCol w:w="112"/>
        <w:gridCol w:w="56"/>
        <w:gridCol w:w="162"/>
        <w:gridCol w:w="867"/>
        <w:gridCol w:w="162"/>
        <w:gridCol w:w="56"/>
        <w:gridCol w:w="167"/>
        <w:gridCol w:w="834"/>
        <w:gridCol w:w="166"/>
      </w:tblGrid>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Receivable on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Prepaid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Additional</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Account of</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Services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Total</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Common Stock</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Paid in</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Paid with</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Accumulated</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Stockholders'</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Shares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Amount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Capital</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Issued</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Common Sock</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Deficit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Deficit</w:t>
            </w:r>
          </w:p>
        </w:tc>
      </w:tr>
      <w:tr w:rsidR="00BD0853" w:rsidRPr="00BD0853" w:rsidTr="00BD0853">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gridSpan w:val="3"/>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r>
      <w:tr w:rsidR="00BD0853" w:rsidRPr="00BD0853" w:rsidTr="00BD0853">
        <w:tc>
          <w:tcPr>
            <w:tcW w:w="18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Balance, June 30, 2014</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87,210,000</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8,721</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514,485</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(12,411</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(339,406</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1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25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171,389</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Amortization of Prepaid services paid with common stock</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7,500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7,500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(233,008</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Balance, June 30, 2015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87,210,000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8,721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514,485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(4,911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(572,414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(54,119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Retirement of Shares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(39,869,999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Shares Issued for Acquisition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39,820,000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2,397,075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2,397,075</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Prepaid services paid with common stock</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4,911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4,911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loss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(431,923</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Balance, June 30, 2016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87,160,001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8,716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2,911,560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(1,004,337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1,915,939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Options vested (unaudited)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34,884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34,884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Issuance of Shares (unaudited)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4,524,999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452</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419,547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409,999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loss (unaudited)</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(887,637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(887,637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Balance, March 31, 2017 (unaudited)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91,685,000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9,168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3,365,991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(10,000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(1,891,974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1,473,186</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See accompanying notes to financial statement</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Default="00BD0853">
      <w:pPr>
        <w:rPr>
          <w:rFonts w:ascii="Times New Roman" w:eastAsia="Times New Roman" w:hAnsi="Times New Roman" w:cs="Times New Roman"/>
          <w:b/>
          <w:bCs/>
          <w:sz w:val="20"/>
          <w:szCs w:val="20"/>
          <w:u w:val="single"/>
        </w:rPr>
      </w:pPr>
      <w:r>
        <w:rPr>
          <w:rFonts w:ascii="Times New Roman" w:eastAsia="Times New Roman" w:hAnsi="Times New Roman" w:cs="Times New Roman"/>
          <w:b/>
          <w:bCs/>
          <w:sz w:val="20"/>
          <w:szCs w:val="20"/>
          <w:u w:val="single"/>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u w:val="single"/>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bookmarkStart w:id="5" w:name="a_014"/>
      <w:bookmarkEnd w:id="5"/>
      <w:r w:rsidRPr="00BD0853">
        <w:rPr>
          <w:rFonts w:ascii="Times New Roman" w:eastAsia="Times New Roman" w:hAnsi="Times New Roman" w:cs="Times New Roman"/>
          <w:b/>
          <w:bCs/>
          <w:sz w:val="20"/>
          <w:szCs w:val="20"/>
          <w:u w:val="single"/>
        </w:rPr>
        <w:t>STATEMENT OF CASH FLOWS (UNAUDITED)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6048"/>
        <w:gridCol w:w="864"/>
        <w:gridCol w:w="108"/>
        <w:gridCol w:w="1296"/>
        <w:gridCol w:w="108"/>
        <w:gridCol w:w="864"/>
        <w:gridCol w:w="108"/>
        <w:gridCol w:w="1296"/>
        <w:gridCol w:w="108"/>
      </w:tblGrid>
      <w:tr w:rsidR="00BD0853" w:rsidRPr="00BD0853" w:rsidTr="00BD0853">
        <w:tc>
          <w:tcPr>
            <w:tcW w:w="0" w:type="auto"/>
            <w:vAlign w:val="bottom"/>
            <w:hideMark/>
          </w:tcPr>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For the Nine Months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For the Nine Months</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Ended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Ended</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2016</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(Unaudited)</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CASH FLOWS FROM OPERATING ACTIVITIES: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2800" w:type="pct"/>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loss</w:t>
            </w:r>
          </w:p>
        </w:tc>
        <w:tc>
          <w:tcPr>
            <w:tcW w:w="4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6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(887,637</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4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6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(162,254</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Adjustments to reconcile net loss to net cash to cash used by operating activities: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Amortization of prepaid services paid with common stock</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4,911</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Amortization of intangible assets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172,033</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Share based compensation expense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34,884</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Changes in operating assets and liabilities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Decrease in prepaid expenses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6,982</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2,000</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4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Increase (decrease) in: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color w:val="FF0000"/>
                <w:sz w:val="20"/>
                <w:szCs w:val="20"/>
              </w:rPr>
            </w:pPr>
            <w:r w:rsidRPr="00BD0853">
              <w:rPr>
                <w:rFonts w:ascii="Times New Roman" w:eastAsia="Times New Roman" w:hAnsi="Times New Roman" w:cs="Times New Roman"/>
                <w:color w:val="FF0000"/>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Receivables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Accounts Payable</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209,818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6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Accrued Payroll</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(34,526</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121,106</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cash used by operating activities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(498,447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(34,237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CASH FLOWS FROM INVESTING ACTIVITIES: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cash used by investing activities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CASH FLOWS FROM FINANCING ACTIVITIES: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Proceeds from long term Liabilities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Proceeds from issuance of common Stock</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409,999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cash provided by financing activities</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409,999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decrease in cash</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(88,448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(34,237</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Cash, beginning of period</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123,757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267,481</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Cash, end of period</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35,309</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233,244</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SUPPLEMENTAL CASH FLOW INFORMATION:</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Cash paid for interest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Cash paid for income tax</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NON-CASH FINANCING ACTIVITIES</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200" w:type="dxa"/>
              <w:bottom w:w="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Gain on extinguishment of debt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222,028</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See accompanying notes to financial statement</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bookmarkStart w:id="6" w:name="a_015"/>
      <w:bookmarkEnd w:id="6"/>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1. Background Information</w:t>
      </w:r>
    </w:p>
    <w:p w:rsidR="00BD0853" w:rsidRPr="00BD0853" w:rsidRDefault="00BD0853" w:rsidP="00BD0853">
      <w:pPr>
        <w:spacing w:after="0" w:line="240" w:lineRule="auto"/>
        <w:ind w:left="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jc w:val="both"/>
        <w:rPr>
          <w:rFonts w:ascii="Times New Roman" w:eastAsia="Times New Roman" w:hAnsi="Times New Roman" w:cs="Times New Roman"/>
          <w:sz w:val="20"/>
          <w:szCs w:val="20"/>
        </w:rPr>
      </w:pP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xml:space="preserve"> Inc. is a clinical-stage company pursuing the discovery, development, and commercialization of innovative drug therapies. The Company is currently focused on developing and commercializing BIV201, a novel approach to the treatment of ascites due to chronic liver cirrhosis. In March 2017,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xml:space="preserve"> received notification from the FDA that it could initiate a Phase 2a US clinical trial and in April the Company signed a Cooperative Research and Development Agreement (CRADA) with the McGuire Research Institute/VA in Richmond, VA, to begin dosing patients with BIV201 in mid-2017.</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BIV201 has the potential to improve the health of thousands of patients suffering from life-threatening complications of liver cirrhosis due to hepatitis, NASH, and alcoholism. It has Orphan Drug designation for the most common of these complications, ascites, which represents a significant unmet medical need. The FDA has never approved any drug specifically for treating ascites. For more information about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xml:space="preserve"> and BIV201, please visit our website: www.biovieinc.com.</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BIV201 development program began at LAT Pharma LLC. On April 11, 2016, the Company acquired LAT Pharma LLC and the rights to its BIV201 development program. We currently own all development and marketing rights to our drug candidate, except as noted previously, the Company and </w:t>
      </w:r>
      <w:proofErr w:type="spellStart"/>
      <w:r w:rsidRPr="00BD0853">
        <w:rPr>
          <w:rFonts w:ascii="Times New Roman" w:eastAsia="Times New Roman" w:hAnsi="Times New Roman" w:cs="Times New Roman"/>
          <w:sz w:val="20"/>
          <w:szCs w:val="20"/>
        </w:rPr>
        <w:t>PharmaIN</w:t>
      </w:r>
      <w:proofErr w:type="spellEnd"/>
      <w:r w:rsidRPr="00BD0853">
        <w:rPr>
          <w:rFonts w:ascii="Times New Roman" w:eastAsia="Times New Roman" w:hAnsi="Times New Roman" w:cs="Times New Roman"/>
          <w:sz w:val="20"/>
          <w:szCs w:val="20"/>
        </w:rPr>
        <w:t xml:space="preserve"> have exchanged small (low single-digit) ownership rights to each other’s ascites drug development programs. The Company recently filed patent applications for its drug candidate in the US and Japan, as well as a PCT in Europe. We are currently completing the work necessary to file our investigational new drug (IND) application, and aim to commence clinical trials should the FDA approve our application.</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Company’s activities are subject to significant risks and uncertainties including failure to secure additional funding to properly execute the company’s business plan.</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2. Going Concern</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accompanying financial statements have been prepared </w:t>
      </w:r>
      <w:proofErr w:type="gramStart"/>
      <w:r w:rsidRPr="00BD0853">
        <w:rPr>
          <w:rFonts w:ascii="Times New Roman" w:eastAsia="Times New Roman" w:hAnsi="Times New Roman" w:cs="Times New Roman"/>
          <w:sz w:val="20"/>
          <w:szCs w:val="20"/>
        </w:rPr>
        <w:t>assuming that</w:t>
      </w:r>
      <w:proofErr w:type="gramEnd"/>
      <w:r w:rsidRPr="00BD0853">
        <w:rPr>
          <w:rFonts w:ascii="Times New Roman" w:eastAsia="Times New Roman" w:hAnsi="Times New Roman" w:cs="Times New Roman"/>
          <w:sz w:val="20"/>
          <w:szCs w:val="20"/>
        </w:rPr>
        <w:t xml:space="preserve"> the Company will continue as a going concern. For the nine months ended March 31, 2017, the Company had a net loss of $887,637.  As of March 31, 2017, the Company has not earned any revenues. In view of these matters, the Company’s ability to continue as a going concern is dependent upon the Company’s ability to begin operations and to achieve a level of profitability. Since inception, the Company has financed its activities principally from the sale of public equity securities. The Company intends on financing its future development activities and its working capital needs largely from the sale of public equity securities with some additional funding from other traditional financing sources, including term notes and proceeds from sub-licensing agreements until such time that funds provided by operations are sufficient to fund working capital requirements. The financial statements of the Company do not include any adjustments relating to the recoverability and classification of recorded assets, or the amounts and classifications of liabilities that might be necessary should the Company be unable to continue as a going concern.</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3. Significant Accounting Policies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Unaudited Interim Financial Statements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accompanying unaudited financial statements have been prepared in accordance with generally accepted accounting principles in the United States of America for interim financial information and with the instructions to Form 10-Q and Regulation S-X.  Accordingly, the financial statements do not include </w:t>
      </w:r>
      <w:proofErr w:type="gramStart"/>
      <w:r w:rsidRPr="00BD0853">
        <w:rPr>
          <w:rFonts w:ascii="Times New Roman" w:eastAsia="Times New Roman" w:hAnsi="Times New Roman" w:cs="Times New Roman"/>
          <w:sz w:val="20"/>
          <w:szCs w:val="20"/>
        </w:rPr>
        <w:t>all of</w:t>
      </w:r>
      <w:proofErr w:type="gramEnd"/>
      <w:r w:rsidRPr="00BD0853">
        <w:rPr>
          <w:rFonts w:ascii="Times New Roman" w:eastAsia="Times New Roman" w:hAnsi="Times New Roman" w:cs="Times New Roman"/>
          <w:sz w:val="20"/>
          <w:szCs w:val="20"/>
        </w:rPr>
        <w:t xml:space="preserve"> the information and footnotes required by generally accepted accounting principles for complete financial statements.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In the opinion of management, all adjustments consisting of normal recurring entries necessary for a fair statement of the periods presented for: (a) the financial position; (b) the result of operations; and (c) cash flows, have been made </w:t>
      </w:r>
      <w:proofErr w:type="gramStart"/>
      <w:r w:rsidRPr="00BD0853">
        <w:rPr>
          <w:rFonts w:ascii="Times New Roman" w:eastAsia="Times New Roman" w:hAnsi="Times New Roman" w:cs="Times New Roman"/>
          <w:sz w:val="20"/>
          <w:szCs w:val="20"/>
        </w:rPr>
        <w:t>in order to</w:t>
      </w:r>
      <w:proofErr w:type="gramEnd"/>
      <w:r w:rsidRPr="00BD0853">
        <w:rPr>
          <w:rFonts w:ascii="Times New Roman" w:eastAsia="Times New Roman" w:hAnsi="Times New Roman" w:cs="Times New Roman"/>
          <w:sz w:val="20"/>
          <w:szCs w:val="20"/>
        </w:rPr>
        <w:t xml:space="preserve"> make the financial statements presented not misleading.  The results of operations for such interim periods are not necessarily indicative of operations for a full year.</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Basis of Presentation</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preparation of financial statements in conformity with accounting principles generally accepted in the United States of America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Cash</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Cash is maintained at financial institutions and, at times, balances may exceed federally insured limits. We have never experienced any losses related to these balances. </w:t>
      </w:r>
      <w:proofErr w:type="gramStart"/>
      <w:r w:rsidRPr="00BD0853">
        <w:rPr>
          <w:rFonts w:ascii="Times New Roman" w:eastAsia="Times New Roman" w:hAnsi="Times New Roman" w:cs="Times New Roman"/>
          <w:sz w:val="20"/>
          <w:szCs w:val="20"/>
        </w:rPr>
        <w:t>All of</w:t>
      </w:r>
      <w:proofErr w:type="gramEnd"/>
      <w:r w:rsidRPr="00BD0853">
        <w:rPr>
          <w:rFonts w:ascii="Times New Roman" w:eastAsia="Times New Roman" w:hAnsi="Times New Roman" w:cs="Times New Roman"/>
          <w:sz w:val="20"/>
          <w:szCs w:val="20"/>
        </w:rPr>
        <w:t xml:space="preserve"> our cash balances were fully insured at March 31, 2017.</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Financial Instruments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Company’s financial instruments include cash and accounts payable. The carrying amounts of cash and accounts payable approximate their fair value, due to the short-term nature of these items.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carrying amounts of debt converted to long-term notes payable are reported at their original amounts.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Research and Development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Research and development costs are charged to operations when incurred and are included in operating expenses. The Company expensed $375,872 for research and development for the nine months ended March 31, 2017.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3. Significant Accounting Policies (continued)</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Income Taxes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Deferred income tax assets and liabilities arise from temporary differences associated with differences between the financial statements and tax basis of assets and liabilities, as measured by the enacted tax rates, which are expected to be in effect when these differences reverse. Deferred tax assets and liabilities are classified as current or non-current, depending on the classification of the assets or liabilities to which they relate. Deferred tax assets and liabilities not related to an asset or liability are classified as current or non-current depending on the periods in which the temporary differences are expected to reverse.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 follows the provisions of FASB ASC 740-10 “</w:t>
      </w:r>
      <w:r w:rsidRPr="00BD0853">
        <w:rPr>
          <w:rFonts w:ascii="Times New Roman" w:eastAsia="Times New Roman" w:hAnsi="Times New Roman" w:cs="Times New Roman"/>
          <w:i/>
          <w:iCs/>
          <w:sz w:val="20"/>
          <w:szCs w:val="20"/>
        </w:rPr>
        <w:t>Uncertainty in Income Taxes</w:t>
      </w:r>
      <w:r w:rsidRPr="00BD0853">
        <w:rPr>
          <w:rFonts w:ascii="Times New Roman" w:eastAsia="Times New Roman" w:hAnsi="Times New Roman" w:cs="Times New Roman"/>
          <w:sz w:val="20"/>
          <w:szCs w:val="20"/>
        </w:rPr>
        <w:t xml:space="preserve">” (ASC 740-10), January 1, 2007. The Company has not recognized a liability </w:t>
      </w:r>
      <w:proofErr w:type="gramStart"/>
      <w:r w:rsidRPr="00BD0853">
        <w:rPr>
          <w:rFonts w:ascii="Times New Roman" w:eastAsia="Times New Roman" w:hAnsi="Times New Roman" w:cs="Times New Roman"/>
          <w:sz w:val="20"/>
          <w:szCs w:val="20"/>
        </w:rPr>
        <w:t>as a result of</w:t>
      </w:r>
      <w:proofErr w:type="gramEnd"/>
      <w:r w:rsidRPr="00BD0853">
        <w:rPr>
          <w:rFonts w:ascii="Times New Roman" w:eastAsia="Times New Roman" w:hAnsi="Times New Roman" w:cs="Times New Roman"/>
          <w:sz w:val="20"/>
          <w:szCs w:val="20"/>
        </w:rPr>
        <w:t xml:space="preserve"> the implementation of ASC 740-10. A reconciliation of the beginning and ending amount of unrecognized tax benefits has not been provided since there are no unrecognized benefits at March 31, 2017 and since the date of adoption. The Company has not recognized interest expense or penalties </w:t>
      </w:r>
      <w:proofErr w:type="gramStart"/>
      <w:r w:rsidRPr="00BD0853">
        <w:rPr>
          <w:rFonts w:ascii="Times New Roman" w:eastAsia="Times New Roman" w:hAnsi="Times New Roman" w:cs="Times New Roman"/>
          <w:sz w:val="20"/>
          <w:szCs w:val="20"/>
        </w:rPr>
        <w:t>as a result of</w:t>
      </w:r>
      <w:proofErr w:type="gramEnd"/>
      <w:r w:rsidRPr="00BD0853">
        <w:rPr>
          <w:rFonts w:ascii="Times New Roman" w:eastAsia="Times New Roman" w:hAnsi="Times New Roman" w:cs="Times New Roman"/>
          <w:sz w:val="20"/>
          <w:szCs w:val="20"/>
        </w:rPr>
        <w:t xml:space="preserve"> the implementation of ASC 740-10. If there were an unrecognized tax benefit, the Company would recognize interest accrued related to unrecognized tax benefits in interest expense and penalties in operating expenses.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Earnings (Loss) per Share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Basic earnings per share are computed by dividing net income by the weighted average number of shares of common stock outstanding during the period. Diluted earnings per common share are computed by dividing net income by the weighted average number of shares of common stock outstanding and dilutive options outstanding during the period. For the three and nine months ended March 31, 2017 and 2016 all outstanding options have been excluded from the calculation of the diluted net loss per share since their effect was anti-dilutive.</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Stock-based Compensation</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 recognizes all share-based payments to employees, including grants of employee stock options, as compensation expense in the financial statements based on their fair values. That expense will be recognized over the period during which an employee is required to provide services in exchange for the award, known as the requisite service period (usually the vesting period). </w:t>
      </w:r>
      <w:r w:rsidRPr="00BD0853">
        <w:rPr>
          <w:rFonts w:ascii="Times New Roman" w:eastAsia="Times New Roman" w:hAnsi="Times New Roman" w:cs="Times New Roman"/>
          <w:i/>
          <w:iCs/>
          <w:sz w:val="20"/>
          <w:szCs w:val="20"/>
        </w:rPr>
        <w:t>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3. Significant Accounting Policies (continued)</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Fair Value Measurements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September 2006, the Financial Accounting Standards Board (FASB) introduced a framework for measuring fair value and expanded required disclosure about fair value measurements of assets and liabilities. The Company adopted the standard for those financial assets and liabilities as of the beginning of the 2013 fiscal year and the impact of adoption was not significant. FASB Accounting Standards Codification (ASC) 820 “</w:t>
      </w:r>
      <w:r w:rsidRPr="00BD0853">
        <w:rPr>
          <w:rFonts w:ascii="Times New Roman" w:eastAsia="Times New Roman" w:hAnsi="Times New Roman" w:cs="Times New Roman"/>
          <w:i/>
          <w:iCs/>
          <w:sz w:val="20"/>
          <w:szCs w:val="20"/>
        </w:rPr>
        <w:t>Fair Value Measurements and Disclosures</w:t>
      </w:r>
      <w:r w:rsidRPr="00BD0853">
        <w:rPr>
          <w:rFonts w:ascii="Times New Roman" w:eastAsia="Times New Roman" w:hAnsi="Times New Roman" w:cs="Times New Roman"/>
          <w:sz w:val="20"/>
          <w:szCs w:val="20"/>
        </w:rPr>
        <w:t>” (ASC 820) defines fair value as the exchange price that would be received for an asset or paid to transfer a liability (an exit price) in the principal or most advantageous market for the asset or liability in an orderly transaction between market participants on the measurement date. ASC 820 also establishes a fair value hierarchy that distinguishes between (1) market participant assumptions developed based on market data obtained from independent sources (observable inputs) and (2) an entity’s own assumptions about market participant assumptions developed based on the best information available in the circumstances (unobservable inputs). The fair value hierarchy consists of three broad levels, which gives the highest priority to unadjusted quoted prices in active markets for identical assets or liabilities (Level 1) and the lowest priority to unobservable inputs (Level 3). The three levels of the fair value hierarchy are described below: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Level 1 - Unadjusted quoted prices in active markets that are accessible at the measurement date for identical, unrestricted assets or liabilities.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Level 2 - Inputs other than quoted prices included within Level 1 that are observable for the asset or liability, either directly or indirectly, including quoted prices for similar assets or liabilities in active markets; quoted prices for identical or similar assets or liabilities in markets that are not active; inputs other than quoted prices that are observable for the asset or liability (e.g., interest rates); and inputs that are derived principally from or corroborated by observable market data by correlation or other means.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Level 3 - Inputs that are both significant to the fair value measurement and unobservable.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Fair value estimates discussed herein are based upon certain market assumptions and pertinent information available to management as of March 31, 2017. The respective carrying value of certain on-balance-sheet financial instruments approximated their fair values due to the short-term nature of these instruments. These financial instruments include accrued payroll.</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carrying amounts of debt converted to long-term notes payable are reported at their original amounts.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u w:val="single"/>
        </w:rPr>
        <w:t>Recent accounting pronouncements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 has reviewed recent accounting pronouncements issued by the FASB (including its EITF), the AICPA, and the SEC and did not or are not believed by management to have a material impact on the Company’s financial statements.</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4. Related Party Loan</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LAT Pharma was given a zero-interest bearing loan by the company’s General Partner, Jonathan Adams in the amount of $5,000 in August 2015 and $5,000 in November 2015. The total of $10,000 was outstanding when the Company merged with LAT Pharma. As of </w:t>
      </w:r>
      <w:proofErr w:type="gramStart"/>
      <w:r w:rsidRPr="00BD0853">
        <w:rPr>
          <w:rFonts w:ascii="Times New Roman" w:eastAsia="Times New Roman" w:hAnsi="Times New Roman" w:cs="Times New Roman"/>
          <w:sz w:val="20"/>
          <w:szCs w:val="20"/>
        </w:rPr>
        <w:t>March 31, 2017</w:t>
      </w:r>
      <w:proofErr w:type="gramEnd"/>
      <w:r w:rsidRPr="00BD0853">
        <w:rPr>
          <w:rFonts w:ascii="Times New Roman" w:eastAsia="Times New Roman" w:hAnsi="Times New Roman" w:cs="Times New Roman"/>
          <w:sz w:val="20"/>
          <w:szCs w:val="20"/>
        </w:rPr>
        <w:t xml:space="preserve"> the Company has an outstanding balance of $10,000 payable on demand to the CEO, Jonathan Adams.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March 23, 2017, Jonathan Adams agreed to defer the payment of his salary debt of $180,555 until December 31, 2019, through the issuance of a Promissory note. The promissory note does not carry any interest charge </w:t>
      </w:r>
      <w:proofErr w:type="gramStart"/>
      <w:r w:rsidRPr="00BD0853">
        <w:rPr>
          <w:rFonts w:ascii="Times New Roman" w:eastAsia="Times New Roman" w:hAnsi="Times New Roman" w:cs="Times New Roman"/>
          <w:sz w:val="20"/>
          <w:szCs w:val="20"/>
        </w:rPr>
        <w:t>as long as</w:t>
      </w:r>
      <w:proofErr w:type="gramEnd"/>
      <w:r w:rsidRPr="00BD0853">
        <w:rPr>
          <w:rFonts w:ascii="Times New Roman" w:eastAsia="Times New Roman" w:hAnsi="Times New Roman" w:cs="Times New Roman"/>
          <w:sz w:val="20"/>
          <w:szCs w:val="20"/>
        </w:rPr>
        <w:t xml:space="preserve"> the amount is paid in full before December 31, 2019. The salary debt has thereby been reclassified from a current liability to a </w:t>
      </w:r>
      <w:proofErr w:type="gramStart"/>
      <w:r w:rsidRPr="00BD0853">
        <w:rPr>
          <w:rFonts w:ascii="Times New Roman" w:eastAsia="Times New Roman" w:hAnsi="Times New Roman" w:cs="Times New Roman"/>
          <w:sz w:val="20"/>
          <w:szCs w:val="20"/>
        </w:rPr>
        <w:t>long term</w:t>
      </w:r>
      <w:proofErr w:type="gramEnd"/>
      <w:r w:rsidRPr="00BD0853">
        <w:rPr>
          <w:rFonts w:ascii="Times New Roman" w:eastAsia="Times New Roman" w:hAnsi="Times New Roman" w:cs="Times New Roman"/>
          <w:sz w:val="20"/>
          <w:szCs w:val="20"/>
        </w:rPr>
        <w:t xml:space="preserve"> liability on the balance sheet.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March 23, 2017, Elliot Ehrlich agreed to forgive 50% of his salary debt of $444,056.25. The adjusted salary debt is $222,028.13. Elliot Ehrlich also agreed to defer the payment of his salary debt of $222,028.13 until December 31, 2019, through the issuance of a Promissory note. The promissory note does not carry any interest charge </w:t>
      </w:r>
      <w:proofErr w:type="gramStart"/>
      <w:r w:rsidRPr="00BD0853">
        <w:rPr>
          <w:rFonts w:ascii="Times New Roman" w:eastAsia="Times New Roman" w:hAnsi="Times New Roman" w:cs="Times New Roman"/>
          <w:sz w:val="20"/>
          <w:szCs w:val="20"/>
        </w:rPr>
        <w:t>as long as</w:t>
      </w:r>
      <w:proofErr w:type="gramEnd"/>
      <w:r w:rsidRPr="00BD0853">
        <w:rPr>
          <w:rFonts w:ascii="Times New Roman" w:eastAsia="Times New Roman" w:hAnsi="Times New Roman" w:cs="Times New Roman"/>
          <w:sz w:val="20"/>
          <w:szCs w:val="20"/>
        </w:rPr>
        <w:t xml:space="preserve"> the amount is paid in full before December 31, 2019. The salary debt has thereby been reclassified from a current liability to a </w:t>
      </w:r>
      <w:proofErr w:type="gramStart"/>
      <w:r w:rsidRPr="00BD0853">
        <w:rPr>
          <w:rFonts w:ascii="Times New Roman" w:eastAsia="Times New Roman" w:hAnsi="Times New Roman" w:cs="Times New Roman"/>
          <w:sz w:val="20"/>
          <w:szCs w:val="20"/>
        </w:rPr>
        <w:t>long term</w:t>
      </w:r>
      <w:proofErr w:type="gramEnd"/>
      <w:r w:rsidRPr="00BD0853">
        <w:rPr>
          <w:rFonts w:ascii="Times New Roman" w:eastAsia="Times New Roman" w:hAnsi="Times New Roman" w:cs="Times New Roman"/>
          <w:sz w:val="20"/>
          <w:szCs w:val="20"/>
        </w:rPr>
        <w:t xml:space="preserve"> liability on the balance sheet and the salary debt forgiven has been reflected on the income statement as other income.</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5. Commitments and Contingencies</w:t>
      </w: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Office Lease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w:t>
      </w:r>
      <w:proofErr w:type="gramStart"/>
      <w:r w:rsidRPr="00BD0853">
        <w:rPr>
          <w:rFonts w:ascii="Times New Roman" w:eastAsia="Times New Roman" w:hAnsi="Times New Roman" w:cs="Times New Roman"/>
          <w:sz w:val="20"/>
          <w:szCs w:val="20"/>
        </w:rPr>
        <w:t>January 1, 2014</w:t>
      </w:r>
      <w:proofErr w:type="gramEnd"/>
      <w:r w:rsidRPr="00BD0853">
        <w:rPr>
          <w:rFonts w:ascii="Times New Roman" w:eastAsia="Times New Roman" w:hAnsi="Times New Roman" w:cs="Times New Roman"/>
          <w:sz w:val="20"/>
          <w:szCs w:val="20"/>
        </w:rPr>
        <w:t xml:space="preserve"> the Company executed a lease agreement with Cummings Properties for the company’s office of 270 square feet at 100 Cummings Center, Suite 247-C, Beverly, MA 01915. The lease is for a term of five years from January 1, 2014 to December 30, 2018 and requires monthly payments of $369 ($4,428 annually for each of the five years, total aggregate of $22,140).</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Employment Agreements</w:t>
      </w:r>
      <w:r w:rsidRPr="00BD0853">
        <w:rPr>
          <w:rFonts w:ascii="Times New Roman" w:eastAsia="Times New Roman" w:hAnsi="Times New Roman" w:cs="Times New Roman"/>
          <w:b/>
          <w:bCs/>
          <w:sz w:val="20"/>
          <w:szCs w:val="20"/>
        </w:rPr>
        <w:t>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w:t>
      </w:r>
      <w:proofErr w:type="gramStart"/>
      <w:r w:rsidRPr="00BD0853">
        <w:rPr>
          <w:rFonts w:ascii="Times New Roman" w:eastAsia="Times New Roman" w:hAnsi="Times New Roman" w:cs="Times New Roman"/>
          <w:sz w:val="20"/>
          <w:szCs w:val="20"/>
        </w:rPr>
        <w:t>April 11, 2016</w:t>
      </w:r>
      <w:proofErr w:type="gramEnd"/>
      <w:r w:rsidRPr="00BD0853">
        <w:rPr>
          <w:rFonts w:ascii="Times New Roman" w:eastAsia="Times New Roman" w:hAnsi="Times New Roman" w:cs="Times New Roman"/>
          <w:sz w:val="20"/>
          <w:szCs w:val="20"/>
        </w:rPr>
        <w:t xml:space="preserve"> the Company entered into employment agreement with CEO Jonathan Adams. The Company’s agreement provides for a three-year term with minimum annual base salary of $250,000 per year. Effective April 11, 2016, the (previous) CEO/CFO resigned.</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6. Income Taxes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Deferred taxes are recorded for all existing temporary differences in the Company’s assets and liabilities for income tax and financial reporting purposes. Due to the valuation allowance for deferred tax assets, as noted below, there were no net deferred tax benefit or expense for the nine months ended March 31, 2017.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There is no current or deferred income tax expense or benefit allocated to continuing operations for the nine months ended March 31, 2017.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provision for income taxes is different from that which would be obtained by applying the statutory federal income tax rate to income before income taxes. The items causing this difference are as follows: </w:t>
      </w:r>
    </w:p>
    <w:tbl>
      <w:tblPr>
        <w:tblW w:w="5000" w:type="pct"/>
        <w:tblCellMar>
          <w:left w:w="0" w:type="dxa"/>
          <w:right w:w="0" w:type="dxa"/>
        </w:tblCellMar>
        <w:tblLook w:val="04A0" w:firstRow="1" w:lastRow="0" w:firstColumn="1" w:lastColumn="0" w:noHBand="0" w:noVBand="1"/>
      </w:tblPr>
      <w:tblGrid>
        <w:gridCol w:w="6048"/>
        <w:gridCol w:w="864"/>
        <w:gridCol w:w="108"/>
        <w:gridCol w:w="1296"/>
        <w:gridCol w:w="108"/>
        <w:gridCol w:w="864"/>
        <w:gridCol w:w="108"/>
        <w:gridCol w:w="1296"/>
        <w:gridCol w:w="108"/>
      </w:tblGrid>
      <w:tr w:rsidR="00BD0853" w:rsidRPr="00BD0853" w:rsidTr="00BD0853">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March 31, 2017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 </w:t>
            </w:r>
          </w:p>
        </w:tc>
        <w:tc>
          <w:tcPr>
            <w:tcW w:w="0" w:type="auto"/>
            <w:gridSpan w:val="3"/>
            <w:tcBorders>
              <w:bottom w:val="single" w:sz="8" w:space="0" w:color="000000"/>
            </w:tcBorders>
            <w:vAlign w:val="bottom"/>
            <w:hideMark/>
          </w:tcPr>
          <w:p w:rsidR="00BD0853" w:rsidRPr="00BD0853" w:rsidRDefault="00BD0853" w:rsidP="00BD0853">
            <w:pPr>
              <w:spacing w:after="0" w:line="240" w:lineRule="auto"/>
              <w:jc w:val="center"/>
              <w:rPr>
                <w:rFonts w:ascii="Times New Roman" w:eastAsia="Times New Roman" w:hAnsi="Times New Roman" w:cs="Times New Roman"/>
                <w:b/>
                <w:bCs/>
                <w:sz w:val="20"/>
                <w:szCs w:val="20"/>
              </w:rPr>
            </w:pPr>
            <w:r w:rsidRPr="00BD0853">
              <w:rPr>
                <w:rFonts w:ascii="Times New Roman" w:eastAsia="Times New Roman" w:hAnsi="Times New Roman" w:cs="Times New Roman"/>
                <w:b/>
                <w:bCs/>
                <w:sz w:val="20"/>
                <w:szCs w:val="20"/>
              </w:rPr>
              <w:t>June 30, 2016</w:t>
            </w:r>
          </w:p>
        </w:tc>
      </w:tr>
      <w:tr w:rsidR="00BD0853" w:rsidRPr="00BD0853" w:rsidTr="00BD0853">
        <w:tc>
          <w:tcPr>
            <w:tcW w:w="28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Tax expense (benefit) at U.S. statutory rate</w:t>
            </w:r>
          </w:p>
        </w:tc>
        <w:tc>
          <w:tcPr>
            <w:tcW w:w="4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6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(301,797</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4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6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(146,889</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State income tax expense (benefit), net of federal benefit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(44,382</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(21,659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Effect of non-deductible expenses</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jc w:val="right"/>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jc w:val="right"/>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Other</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jc w:val="right"/>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jc w:val="right"/>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Change in valuation allowance</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346,179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168,548</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200" w:line="27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7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tax effects of temporary differences that give rise to significant portions of the deferred tax assets and deferred tax liabilities at March 31, 2017 were as follows:</w:t>
      </w:r>
    </w:p>
    <w:tbl>
      <w:tblPr>
        <w:tblW w:w="5000" w:type="pct"/>
        <w:tblCellMar>
          <w:left w:w="0" w:type="dxa"/>
          <w:right w:w="0" w:type="dxa"/>
        </w:tblCellMar>
        <w:tblLook w:val="04A0" w:firstRow="1" w:lastRow="0" w:firstColumn="1" w:lastColumn="0" w:noHBand="0" w:noVBand="1"/>
      </w:tblPr>
      <w:tblGrid>
        <w:gridCol w:w="7560"/>
        <w:gridCol w:w="1080"/>
        <w:gridCol w:w="108"/>
        <w:gridCol w:w="1944"/>
        <w:gridCol w:w="108"/>
      </w:tblGrid>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Deferred tax assets (liability), noncurrent:</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gridSpan w:val="3"/>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35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operating loss</w:t>
            </w:r>
          </w:p>
        </w:tc>
        <w:tc>
          <w:tcPr>
            <w:tcW w:w="5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9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346,179</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Valuation allowance</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(346,179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0" w:line="27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76"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Change in valuation allowance:</w:t>
      </w:r>
    </w:p>
    <w:tbl>
      <w:tblPr>
        <w:tblW w:w="5000" w:type="pct"/>
        <w:tblCellMar>
          <w:left w:w="0" w:type="dxa"/>
          <w:right w:w="0" w:type="dxa"/>
        </w:tblCellMar>
        <w:tblLook w:val="04A0" w:firstRow="1" w:lastRow="0" w:firstColumn="1" w:lastColumn="0" w:noHBand="0" w:noVBand="1"/>
      </w:tblPr>
      <w:tblGrid>
        <w:gridCol w:w="7560"/>
        <w:gridCol w:w="1080"/>
        <w:gridCol w:w="108"/>
        <w:gridCol w:w="1944"/>
        <w:gridCol w:w="108"/>
      </w:tblGrid>
      <w:tr w:rsidR="00BD0853" w:rsidRPr="00BD0853" w:rsidTr="00BD0853">
        <w:tc>
          <w:tcPr>
            <w:tcW w:w="35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Balance, June 30, 2016</w:t>
            </w:r>
          </w:p>
        </w:tc>
        <w:tc>
          <w:tcPr>
            <w:tcW w:w="50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9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391,848</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Increase in valuation allowance</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346,179</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r w:rsidR="00BD0853" w:rsidRPr="00BD0853" w:rsidTr="00BD0853">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Balance, March 31, 2017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738,027</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r>
    </w:tbl>
    <w:p w:rsidR="00BD0853" w:rsidRPr="00BD0853" w:rsidRDefault="00BD0853" w:rsidP="00BD0853">
      <w:pPr>
        <w:spacing w:after="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76" w:lineRule="auto"/>
        <w:jc w:val="both"/>
        <w:rPr>
          <w:rFonts w:ascii="Calibri" w:eastAsia="Times New Roman" w:hAnsi="Calibri" w:cs="Times New Roman"/>
          <w:sz w:val="20"/>
          <w:szCs w:val="20"/>
        </w:rPr>
      </w:pPr>
      <w:r w:rsidRPr="00BD0853">
        <w:rPr>
          <w:rFonts w:ascii="Times New Roman" w:eastAsia="Times New Roman" w:hAnsi="Times New Roman" w:cs="Times New Roman"/>
          <w:sz w:val="20"/>
          <w:szCs w:val="20"/>
        </w:rPr>
        <w:t>Since management of the Company believes that it is more likely than not that the net deferred tax assets will not provide future benefit, the Company has established a 100 percent valuation allowance on the net deferred tax assets as of March 31, 2017.</w:t>
      </w:r>
      <w:r w:rsidRPr="00BD0853">
        <w:rPr>
          <w:rFonts w:ascii="Arial" w:eastAsia="Times New Roman" w:hAnsi="Arial" w:cs="Arial"/>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As of March 31, 2017, the Company had federal and state net operating loss carry-forwards totaling approximately $1,870,000 which begin expiring in 2022.</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76"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7. Purchase of LAT Pharma</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April 11, 2016, the Company entered into and consummated an Agreement and Plan of Merger (the “Merger Agreement”), with LAT Acquisition Corp., a Nevada corporation and wholly-owned subsidiary of the Company (“Acquisition”) and LAT Pharma, LLC an Illinois limited liability company (“LAT”). Pursuant to the terms of the Merger Agreement, Acquisition merged with and into LAT in a statutory triangular merger (the “Merger”) with LAT surviving as a wholly-owned subsidiary of the Company. As consideration for the Merger, the Company issued the interest holders of LAT (the “LAT Holders”) an aggregate of 39,820,000 shares of our Common Stock issued to the LAT Holders in accordance with their pro rata ownership of LAT membership interests prior to the Merger. Following the Merger, the Registrant will continue the development of LAT’s lead clinical therapeutic candidate Continuous low-dose Infusion (CI) </w:t>
      </w:r>
      <w:proofErr w:type="spellStart"/>
      <w:r w:rsidRPr="00BD0853">
        <w:rPr>
          <w:rFonts w:ascii="Times New Roman" w:eastAsia="Times New Roman" w:hAnsi="Times New Roman" w:cs="Times New Roman"/>
          <w:sz w:val="20"/>
          <w:szCs w:val="20"/>
        </w:rPr>
        <w:t>Terlipressin</w:t>
      </w:r>
      <w:proofErr w:type="spellEnd"/>
      <w:r w:rsidRPr="00BD0853">
        <w:rPr>
          <w:rFonts w:ascii="Times New Roman" w:eastAsia="Times New Roman" w:hAnsi="Times New Roman" w:cs="Times New Roman"/>
          <w:sz w:val="20"/>
          <w:szCs w:val="20"/>
        </w:rPr>
        <w: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Immediately prior to the Merger, the Company had 87,210,000 shares of Common Stock issued and outstanding. </w:t>
      </w:r>
      <w:proofErr w:type="gramStart"/>
      <w:r w:rsidRPr="00BD0853">
        <w:rPr>
          <w:rFonts w:ascii="Times New Roman" w:eastAsia="Times New Roman" w:hAnsi="Times New Roman" w:cs="Times New Roman"/>
          <w:sz w:val="20"/>
          <w:szCs w:val="20"/>
        </w:rPr>
        <w:t>In connection with</w:t>
      </w:r>
      <w:proofErr w:type="gramEnd"/>
      <w:r w:rsidRPr="00BD0853">
        <w:rPr>
          <w:rFonts w:ascii="Times New Roman" w:eastAsia="Times New Roman" w:hAnsi="Times New Roman" w:cs="Times New Roman"/>
          <w:sz w:val="20"/>
          <w:szCs w:val="20"/>
        </w:rPr>
        <w:t xml:space="preserve"> the Merger, certain shareholders of the Company collectively agreed to retire and cancel an aggregate of 39,869,999 shares of Common Stock. Following the consummation of the Merger, the issuance of the Merger Shares of the 39,820,000 shares of Common Stock, the Company had 87,160,001 shares of Common Stock issued and outstanding and the LAT Holders beneficially own 39,820,000 shares or approximately forty-six percent (46%) of such issued and outstanding Common Stock.</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Under the purchase method of accounting, the transaction was valued for accounting purposes at $2,389,200, which was the estimated fair value of the consideration paid by the Company. The estimate was based on the consideration paid of 39,820,000 shares of common stock valued based on the closing price on 04/11/2016 of $0.06 per share.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assets and liabilities of LAT Pharma, Inc. were recorded at their respective fair values as of the closing date of the Merger Agreement, and the following table summarizes these values based on the balance sheet at April 11, 2016. </w:t>
      </w:r>
    </w:p>
    <w:tbl>
      <w:tblPr>
        <w:tblW w:w="5760" w:type="dxa"/>
        <w:tblCellMar>
          <w:left w:w="0" w:type="dxa"/>
          <w:right w:w="0" w:type="dxa"/>
        </w:tblCellMar>
        <w:tblLook w:val="04A0" w:firstRow="1" w:lastRow="0" w:firstColumn="1" w:lastColumn="0" w:noHBand="0" w:noVBand="1"/>
      </w:tblPr>
      <w:tblGrid>
        <w:gridCol w:w="100"/>
        <w:gridCol w:w="1137"/>
        <w:gridCol w:w="50"/>
        <w:gridCol w:w="4473"/>
      </w:tblGrid>
      <w:tr w:rsidR="00BD0853" w:rsidRPr="00BD0853" w:rsidTr="00BD0853">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10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2,303,682</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3900" w:type="pct"/>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Assets Purchased</w:t>
            </w:r>
          </w:p>
        </w:tc>
      </w:tr>
      <w:tr w:rsidR="00BD0853" w:rsidRPr="00BD0853" w:rsidTr="00BD0853">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260,193</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Liabilities Assumed</w:t>
            </w:r>
          </w:p>
        </w:tc>
      </w:tr>
      <w:tr w:rsidR="00BD0853" w:rsidRPr="00BD0853" w:rsidTr="00BD0853">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2,043,489</w:t>
            </w:r>
          </w:p>
        </w:tc>
        <w:tc>
          <w:tcPr>
            <w:tcW w:w="0" w:type="auto"/>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Net Assets Purchased</w:t>
            </w:r>
          </w:p>
        </w:tc>
      </w:tr>
      <w:tr w:rsidR="00BD0853" w:rsidRPr="00BD0853" w:rsidTr="00BD0853">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2,389,200</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Purchase Price</w:t>
            </w:r>
          </w:p>
        </w:tc>
      </w:tr>
      <w:tr w:rsidR="00BD0853" w:rsidRPr="00BD0853" w:rsidTr="00BD0853">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345,711</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Goodwill from Purchase</w:t>
            </w:r>
          </w:p>
        </w:tc>
      </w:tr>
    </w:tbl>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Intangible asset detail </w:t>
      </w:r>
    </w:p>
    <w:tbl>
      <w:tblPr>
        <w:tblW w:w="5760" w:type="dxa"/>
        <w:tblCellMar>
          <w:left w:w="0" w:type="dxa"/>
          <w:right w:w="0" w:type="dxa"/>
        </w:tblCellMar>
        <w:tblLook w:val="04A0" w:firstRow="1" w:lastRow="0" w:firstColumn="1" w:lastColumn="0" w:noHBand="0" w:noVBand="1"/>
      </w:tblPr>
      <w:tblGrid>
        <w:gridCol w:w="100"/>
        <w:gridCol w:w="1137"/>
        <w:gridCol w:w="50"/>
        <w:gridCol w:w="4473"/>
      </w:tblGrid>
      <w:tr w:rsidR="00BD0853" w:rsidRPr="00BD0853" w:rsidTr="00BD0853">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t>
            </w:r>
          </w:p>
        </w:tc>
        <w:tc>
          <w:tcPr>
            <w:tcW w:w="1000" w:type="pct"/>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2,293,770</w:t>
            </w:r>
          </w:p>
        </w:tc>
        <w:tc>
          <w:tcPr>
            <w:tcW w:w="50" w:type="pct"/>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3900" w:type="pct"/>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Intangible Intellectual Property</w:t>
            </w:r>
          </w:p>
        </w:tc>
      </w:tr>
      <w:tr w:rsidR="00BD0853" w:rsidRPr="00BD0853" w:rsidTr="00BD0853">
        <w:tc>
          <w:tcPr>
            <w:tcW w:w="0" w:type="auto"/>
            <w:tcBorders>
              <w:bottom w:val="single" w:sz="8"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single" w:sz="8"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345,711</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20" w:type="dxa"/>
              <w:right w:w="0" w:type="dxa"/>
            </w:tcMar>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Goodwill</w:t>
            </w:r>
          </w:p>
        </w:tc>
      </w:tr>
      <w:tr w:rsidR="00BD0853" w:rsidRPr="00BD0853" w:rsidTr="00BD0853">
        <w:tc>
          <w:tcPr>
            <w:tcW w:w="0" w:type="auto"/>
            <w:tcBorders>
              <w:bottom w:val="double" w:sz="6" w:space="0" w:color="000000"/>
            </w:tcBorders>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Borders>
              <w:bottom w:val="double" w:sz="6" w:space="0" w:color="000000"/>
            </w:tcBorders>
            <w:vAlign w:val="bottom"/>
            <w:hideMark/>
          </w:tcPr>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2,639,481</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c>
        <w:tc>
          <w:tcPr>
            <w:tcW w:w="0" w:type="auto"/>
            <w:tcMar>
              <w:top w:w="0" w:type="dxa"/>
              <w:left w:w="0" w:type="dxa"/>
              <w:bottom w:w="50" w:type="dxa"/>
              <w:right w:w="0" w:type="dxa"/>
            </w:tcMar>
            <w:vAlign w:val="bottom"/>
            <w:hideMark/>
          </w:tcPr>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Intangible Asset from Purchase</w:t>
            </w:r>
          </w:p>
        </w:tc>
      </w:tr>
    </w:tbl>
    <w:p w:rsidR="00BD0853" w:rsidRPr="00BD0853" w:rsidRDefault="00BD0853" w:rsidP="00BD0853">
      <w:pPr>
        <w:spacing w:after="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76"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7. Purchase of LAT Pharma(continued)</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Under the 338(h</w:t>
      </w:r>
      <w:proofErr w:type="gramStart"/>
      <w:r w:rsidRPr="00BD0853">
        <w:rPr>
          <w:rFonts w:ascii="Times New Roman" w:eastAsia="Times New Roman" w:hAnsi="Times New Roman" w:cs="Times New Roman"/>
          <w:sz w:val="20"/>
          <w:szCs w:val="20"/>
        </w:rPr>
        <w:t>)(</w:t>
      </w:r>
      <w:proofErr w:type="gramEnd"/>
      <w:r w:rsidRPr="00BD0853">
        <w:rPr>
          <w:rFonts w:ascii="Times New Roman" w:eastAsia="Times New Roman" w:hAnsi="Times New Roman" w:cs="Times New Roman"/>
          <w:sz w:val="20"/>
          <w:szCs w:val="20"/>
        </w:rPr>
        <w:t>10) election, intangibles and goodwill related to the acquisition of LAT Pharma will be fully deductible for tax purposes.</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intangible intellectual property is amortized over 10 years.</w:t>
      </w:r>
    </w:p>
    <w:tbl>
      <w:tblPr>
        <w:tblW w:w="5000" w:type="pct"/>
        <w:tblCellMar>
          <w:left w:w="0" w:type="dxa"/>
          <w:right w:w="0" w:type="dxa"/>
        </w:tblCellMar>
        <w:tblLook w:val="04A0" w:firstRow="1" w:lastRow="0" w:firstColumn="1" w:lastColumn="0" w:noHBand="0" w:noVBand="1"/>
      </w:tblPr>
      <w:tblGrid>
        <w:gridCol w:w="6264"/>
        <w:gridCol w:w="864"/>
        <w:gridCol w:w="108"/>
        <w:gridCol w:w="1188"/>
        <w:gridCol w:w="108"/>
        <w:gridCol w:w="864"/>
        <w:gridCol w:w="108"/>
        <w:gridCol w:w="1188"/>
        <w:gridCol w:w="108"/>
      </w:tblGrid>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gridSpan w:val="3"/>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March 2017</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gridSpan w:val="3"/>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December 2015</w:t>
            </w:r>
          </w:p>
        </w:tc>
      </w:tr>
      <w:tr w:rsidR="00BD0853" w:rsidRPr="00BD0853" w:rsidTr="00BD0853">
        <w:tc>
          <w:tcPr>
            <w:tcW w:w="2900" w:type="pct"/>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Intangible Assets subject to Amortization</w:t>
            </w:r>
          </w:p>
        </w:tc>
        <w:tc>
          <w:tcPr>
            <w:tcW w:w="40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50" w:type="pct"/>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2,293,770</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40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50" w:type="pct"/>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  </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Amortization Expense for 9 Months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172,033</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Accumulated Amortization as of March 31, 2017</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280,413</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bl>
    <w:p w:rsidR="00BD0853" w:rsidRPr="00BD0853" w:rsidRDefault="00BD0853" w:rsidP="00BD0853">
      <w:pPr>
        <w:spacing w:after="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previous year amortization expense has been amortized for the period from April 11, 2016 to June 30, 2016. The estimated Amortization expense for each of the five succeeding fiscal years will be approximately $229,300 per year.</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8. Stockholders’ Equity</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u w:val="single"/>
        </w:rPr>
        <w:t>Offering of Stock Options</w:t>
      </w:r>
    </w:p>
    <w:p w:rsidR="00BD0853" w:rsidRPr="00BD0853" w:rsidRDefault="00BD0853" w:rsidP="00BD0853">
      <w:pPr>
        <w:spacing w:after="200" w:line="276" w:lineRule="auto"/>
        <w:jc w:val="both"/>
        <w:rPr>
          <w:rFonts w:ascii="Times New Roman" w:eastAsia="Times New Roman" w:hAnsi="Times New Roman" w:cs="Times New Roman"/>
          <w:sz w:val="20"/>
          <w:szCs w:val="20"/>
        </w:rPr>
      </w:pPr>
      <w:proofErr w:type="gramStart"/>
      <w:r w:rsidRPr="00BD0853">
        <w:rPr>
          <w:rFonts w:ascii="Times New Roman" w:eastAsia="Times New Roman" w:hAnsi="Times New Roman" w:cs="Times New Roman"/>
          <w:sz w:val="20"/>
          <w:szCs w:val="20"/>
        </w:rPr>
        <w:t>In connection with</w:t>
      </w:r>
      <w:proofErr w:type="gramEnd"/>
      <w:r w:rsidRPr="00BD0853">
        <w:rPr>
          <w:rFonts w:ascii="Times New Roman" w:eastAsia="Times New Roman" w:hAnsi="Times New Roman" w:cs="Times New Roman"/>
          <w:sz w:val="20"/>
          <w:szCs w:val="20"/>
        </w:rPr>
        <w:t xml:space="preserve"> the employment agreement signed with the Chief Financial Officer on April 11, 2016, Jonathan Adams received options to acquire 3 million shares exercisable at $0.06 per share, the closing price on that date. These Options Group A shall become vested and exercisable (i) as to 1 million shares on April 11, 2017, (ii) as to 1 million shares on April 11, 2018, and (iii) as to 1 million shares on April 11, 2019.</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fair market value of the stock options is estimated using the Black Scholes valuation model and the Company uses the following methods to determine its underlying assumptions: expected volatilities are based on the historical volatilities of 3 comparable companies of the daily closing price of their respective common stock; the expected term of options granted is based on the average time outstanding method; and the risk free interest rate is based on the US Treasury bonds issued with similar life terms to the expected life of the grant.</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8. Stockholders’ Equity(continued)</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following key assumptions were used in the valuation model to value stock option grants for each respective period:</w:t>
      </w:r>
    </w:p>
    <w:tbl>
      <w:tblPr>
        <w:tblW w:w="5000" w:type="pct"/>
        <w:tblCellMar>
          <w:left w:w="0" w:type="dxa"/>
          <w:right w:w="0" w:type="dxa"/>
        </w:tblCellMar>
        <w:tblLook w:val="04A0" w:firstRow="1" w:lastRow="0" w:firstColumn="1" w:lastColumn="0" w:noHBand="0" w:noVBand="1"/>
      </w:tblPr>
      <w:tblGrid>
        <w:gridCol w:w="5708"/>
        <w:gridCol w:w="529"/>
        <w:gridCol w:w="110"/>
        <w:gridCol w:w="1176"/>
        <w:gridCol w:w="205"/>
        <w:gridCol w:w="110"/>
        <w:gridCol w:w="1176"/>
        <w:gridCol w:w="313"/>
        <w:gridCol w:w="110"/>
        <w:gridCol w:w="1176"/>
        <w:gridCol w:w="177"/>
      </w:tblGrid>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Valuation Date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gridSpan w:val="3"/>
            <w:tcBorders>
              <w:top w:val="single" w:sz="8" w:space="0" w:color="000000"/>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4/11/2016</w:t>
            </w:r>
          </w:p>
        </w:tc>
        <w:tc>
          <w:tcPr>
            <w:tcW w:w="0" w:type="auto"/>
            <w:gridSpan w:val="3"/>
            <w:tcBorders>
              <w:top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4/11/2016</w:t>
            </w:r>
          </w:p>
        </w:tc>
      </w:tr>
      <w:tr w:rsidR="00BD0853" w:rsidRPr="00BD0853" w:rsidTr="00BD0853">
        <w:tc>
          <w:tcPr>
            <w:tcW w:w="2650" w:type="pct"/>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Stock Price</w:t>
            </w:r>
          </w:p>
        </w:tc>
        <w:tc>
          <w:tcPr>
            <w:tcW w:w="25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100" w:type="pct"/>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150" w:type="pct"/>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50" w:type="pct"/>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50" w:type="pct"/>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Exercise Price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Term (expected term for options)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3.00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Volatility</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56.49</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58.45</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97.82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Annual Rate of Quarterly Dividends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Discount Rate - Bond Equivalent Yield</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0.53</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0.70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0.85</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Call Option Value ($Millions)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0.01</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0.02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0.04</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Fair Value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13,467</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19,523</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36,489</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bl>
    <w:p w:rsidR="00BD0853" w:rsidRPr="00BD0853" w:rsidRDefault="00BD0853" w:rsidP="00BD0853">
      <w:pPr>
        <w:spacing w:after="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 issued stock options to consultants and board of directors for services provided to the company. The following key assumptions were used in the valuation model to value stock option grants for each respective period:</w:t>
      </w:r>
    </w:p>
    <w:tbl>
      <w:tblPr>
        <w:tblW w:w="5000" w:type="pct"/>
        <w:tblCellMar>
          <w:left w:w="0" w:type="dxa"/>
          <w:right w:w="0" w:type="dxa"/>
        </w:tblCellMar>
        <w:tblLook w:val="04A0" w:firstRow="1" w:lastRow="0" w:firstColumn="1" w:lastColumn="0" w:noHBand="0" w:noVBand="1"/>
      </w:tblPr>
      <w:tblGrid>
        <w:gridCol w:w="5934"/>
        <w:gridCol w:w="431"/>
        <w:gridCol w:w="111"/>
        <w:gridCol w:w="1078"/>
        <w:gridCol w:w="215"/>
        <w:gridCol w:w="111"/>
        <w:gridCol w:w="1078"/>
        <w:gridCol w:w="323"/>
        <w:gridCol w:w="215"/>
        <w:gridCol w:w="1078"/>
        <w:gridCol w:w="216"/>
      </w:tblGrid>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Valuation Date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gridSpan w:val="3"/>
            <w:tcBorders>
              <w:top w:val="single" w:sz="8" w:space="0" w:color="000000"/>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11/16/2016</w:t>
            </w:r>
          </w:p>
        </w:tc>
        <w:tc>
          <w:tcPr>
            <w:tcW w:w="0" w:type="auto"/>
            <w:gridSpan w:val="3"/>
            <w:tcBorders>
              <w:top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12/18/2016</w:t>
            </w:r>
          </w:p>
        </w:tc>
        <w:tc>
          <w:tcPr>
            <w:tcW w:w="0" w:type="auto"/>
            <w:gridSpan w:val="3"/>
            <w:tcBorders>
              <w:top w:val="single" w:sz="8" w:space="0" w:color="000000"/>
              <w:bottom w:val="single" w:sz="8" w:space="0" w:color="000000"/>
              <w:right w:val="single" w:sz="8" w:space="0" w:color="000000"/>
            </w:tcBorders>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03/14/17</w:t>
            </w:r>
          </w:p>
        </w:tc>
      </w:tr>
      <w:tr w:rsidR="00BD0853" w:rsidRPr="00BD0853" w:rsidTr="00BD0853">
        <w:tc>
          <w:tcPr>
            <w:tcW w:w="2750" w:type="pct"/>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Stock Price</w:t>
            </w:r>
          </w:p>
        </w:tc>
        <w:tc>
          <w:tcPr>
            <w:tcW w:w="20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00" w:type="pct"/>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0.25</w:t>
            </w:r>
          </w:p>
        </w:tc>
        <w:tc>
          <w:tcPr>
            <w:tcW w:w="100" w:type="pct"/>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50" w:type="pct"/>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00" w:type="pct"/>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0.21</w:t>
            </w:r>
          </w:p>
        </w:tc>
        <w:tc>
          <w:tcPr>
            <w:tcW w:w="150" w:type="pct"/>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100" w:type="pct"/>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500" w:type="pct"/>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0.22</w:t>
            </w:r>
          </w:p>
        </w:tc>
        <w:tc>
          <w:tcPr>
            <w:tcW w:w="100" w:type="pct"/>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Exercise Price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0.25</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0.21</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0.22</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Term (expected term for options)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2.00</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Volatility</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43.12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40.02</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Annual Rate of Quarterly Dividends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0.00</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Discount Rate - Bond Equivalent Yield</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1.02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1.15</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sz w:val="20"/>
                <w:szCs w:val="20"/>
              </w:rPr>
              <w:t>1.40</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Call Option Value ($Millions)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0.06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0.05</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0.05</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tcMar>
              <w:top w:w="0" w:type="dxa"/>
              <w:left w:w="108" w:type="dxa"/>
              <w:bottom w:w="0" w:type="dxa"/>
              <w:right w:w="0" w:type="dxa"/>
            </w:tcMar>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Fair Value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30,919</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vAlign w:val="bottom"/>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15,646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bottom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w:t>
            </w:r>
          </w:p>
        </w:tc>
        <w:tc>
          <w:tcPr>
            <w:tcW w:w="0" w:type="auto"/>
            <w:tcBorders>
              <w:bottom w:val="single" w:sz="8" w:space="0" w:color="000000"/>
            </w:tcBorders>
            <w:hideMark/>
          </w:tcPr>
          <w:p w:rsidR="00BD0853" w:rsidRPr="00BD0853" w:rsidRDefault="00BD0853" w:rsidP="00BD0853">
            <w:pPr>
              <w:spacing w:after="0" w:line="276" w:lineRule="auto"/>
              <w:jc w:val="right"/>
              <w:rPr>
                <w:rFonts w:ascii="Calibri" w:eastAsia="Times New Roman" w:hAnsi="Calibri" w:cs="Times New Roman"/>
              </w:rPr>
            </w:pPr>
            <w:r w:rsidRPr="00BD0853">
              <w:rPr>
                <w:rFonts w:ascii="Times New Roman" w:eastAsia="Times New Roman" w:hAnsi="Times New Roman" w:cs="Times New Roman"/>
                <w:b/>
                <w:bCs/>
                <w:sz w:val="20"/>
                <w:szCs w:val="20"/>
              </w:rPr>
              <w:t>5,143</w:t>
            </w:r>
          </w:p>
        </w:tc>
        <w:tc>
          <w:tcPr>
            <w:tcW w:w="0" w:type="auto"/>
            <w:tcBorders>
              <w:bottom w:val="single" w:sz="8" w:space="0" w:color="000000"/>
              <w:right w:val="single" w:sz="8" w:space="0" w:color="000000"/>
            </w:tcBorders>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bl>
    <w:p w:rsidR="00BD0853" w:rsidRPr="00BD0853" w:rsidRDefault="00BD0853" w:rsidP="00BD0853">
      <w:pPr>
        <w:spacing w:after="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8. Stockholders’ Equity(continued)</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Stock option transactions under the Company’s plans for the years ended March 31, 2017 is summarized below:</w:t>
      </w:r>
    </w:p>
    <w:tbl>
      <w:tblPr>
        <w:tblW w:w="5000" w:type="pct"/>
        <w:tblCellMar>
          <w:left w:w="0" w:type="dxa"/>
          <w:right w:w="0" w:type="dxa"/>
        </w:tblCellMar>
        <w:tblLook w:val="04A0" w:firstRow="1" w:lastRow="0" w:firstColumn="1" w:lastColumn="0" w:noHBand="0" w:noVBand="1"/>
      </w:tblPr>
      <w:tblGrid>
        <w:gridCol w:w="4315"/>
        <w:gridCol w:w="1618"/>
        <w:gridCol w:w="1619"/>
        <w:gridCol w:w="1619"/>
        <w:gridCol w:w="1619"/>
      </w:tblGrid>
      <w:tr w:rsidR="00BD0853" w:rsidRPr="00BD0853" w:rsidTr="00BD0853">
        <w:tc>
          <w:tcPr>
            <w:tcW w:w="200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750" w:type="pct"/>
            <w:tcBorders>
              <w:top w:val="single" w:sz="8" w:space="0" w:color="000000"/>
              <w:left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Calibri" w:eastAsia="Times New Roman" w:hAnsi="Calibri" w:cs="Times New Roman"/>
              </w:rPr>
              <w:t> </w:t>
            </w:r>
          </w:p>
        </w:tc>
        <w:tc>
          <w:tcPr>
            <w:tcW w:w="750" w:type="pct"/>
            <w:tcBorders>
              <w:top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Calibri" w:eastAsia="Times New Roman" w:hAnsi="Calibri" w:cs="Times New Roman"/>
              </w:rPr>
              <w:t> </w:t>
            </w:r>
          </w:p>
        </w:tc>
        <w:tc>
          <w:tcPr>
            <w:tcW w:w="750" w:type="pct"/>
            <w:tcBorders>
              <w:top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Weighted </w:t>
            </w:r>
          </w:p>
        </w:tc>
        <w:tc>
          <w:tcPr>
            <w:tcW w:w="750" w:type="pct"/>
            <w:tcBorders>
              <w:top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Calibri" w:eastAsia="Times New Roman" w:hAnsi="Calibri" w:cs="Times New Roman"/>
              </w:rPr>
              <w:t> </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Weighed-</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Average</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Aggregate</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Calibri" w:eastAsia="Times New Roman" w:hAnsi="Calibri" w:cs="Times New Roman"/>
              </w:rPr>
              <w:t> </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Average</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Remaining</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Intrinsic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tcBorders>
              <w:left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Shares</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Exercise</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Contractual</w:t>
            </w:r>
          </w:p>
        </w:tc>
        <w:tc>
          <w:tcPr>
            <w:tcW w:w="0" w:type="auto"/>
            <w:tcBorders>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Value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Options</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(Thousands)</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Price</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Term</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b/>
                <w:bCs/>
                <w:sz w:val="20"/>
                <w:szCs w:val="20"/>
              </w:rPr>
              <w:t>(Thousands)</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Outstanding at June 30, 2016</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3,000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Granted </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Exercised </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Outstanding at September 30, 2016</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3,000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0.06</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Granted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800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0.24</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Exercised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Outstanding at December 31, 2016</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3,800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0.10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Granted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100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0.22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Exercised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Forfeited</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Outstanding at March 31, 2017</w:t>
            </w:r>
          </w:p>
        </w:tc>
        <w:tc>
          <w:tcPr>
            <w:tcW w:w="0" w:type="auto"/>
            <w:tcBorders>
              <w:left w:val="single" w:sz="8" w:space="0" w:color="000000"/>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3,900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0.10</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2</w:t>
            </w:r>
          </w:p>
        </w:tc>
        <w:tc>
          <w:tcPr>
            <w:tcW w:w="0" w:type="auto"/>
            <w:tcBorders>
              <w:bottom w:val="single" w:sz="8" w:space="0" w:color="000000"/>
              <w:right w:val="single" w:sz="8" w:space="0" w:color="000000"/>
            </w:tcBorders>
            <w:vAlign w:val="bottom"/>
            <w:hideMark/>
          </w:tcPr>
          <w:p w:rsidR="00BD0853" w:rsidRPr="00BD0853" w:rsidRDefault="00BD0853" w:rsidP="00BD0853">
            <w:pPr>
              <w:spacing w:after="0" w:line="276" w:lineRule="auto"/>
              <w:jc w:val="center"/>
              <w:rPr>
                <w:rFonts w:ascii="Calibri" w:eastAsia="Times New Roman" w:hAnsi="Calibri" w:cs="Times New Roman"/>
              </w:rPr>
            </w:pPr>
            <w:r w:rsidRPr="00BD0853">
              <w:rPr>
                <w:rFonts w:ascii="Times New Roman" w:eastAsia="Times New Roman" w:hAnsi="Times New Roman" w:cs="Times New Roman"/>
                <w:sz w:val="20"/>
                <w:szCs w:val="20"/>
              </w:rPr>
              <w:t>-</w:t>
            </w:r>
          </w:p>
        </w:tc>
      </w:tr>
    </w:tbl>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compensation expense for the 9 months ended March 31, 2017 includes $26,544 related to the stock options described above. The Legal and Professional fee for the 9 months ended March 31, 2017 includes $8,340 related to the stock options described above.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u w:val="single"/>
        </w:rPr>
        <w:t>Offerings of Common Stock and Warrants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September 2016, the Company sold and issued an aggregate of 49,999 shares of common stock in a private placement transaction for aggregate gross proceeds of approximately $5,000. The purchase price for the common stock was $0.10 per share.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October 2016, the Company sold and issued an aggregate of 225,000 shares of common stock and warrants to purchase 112,500 shares of common stock in a private placement transaction for aggregate gross proceeds of approximately $45,000. The purchase price for the common stock and warrants was $0.20 per unit. The warrants are exercisable at an exercise price of $0.50 at any time from date of issuance until 5 years from the date of issuance.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November 2016, the Company sold and issued an aggregate of 250,000 shares of common stock and warrants to purchase 125,000 shares of common stock in a private placement transaction for aggregate gross proceeds of approximately $50,000. The purchase price for the common stock and warrants was $0.20 per unit. The warrants are exercisable at an exercise price of $0.50 at any time from date of issuance until 5 years from the date of issuance.</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8. Stockholders’ Equity(continued)</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January 2017, the Company sold and issued an aggregate of 100,000 shares of common stock and warrants to purchase 50,000 shares of common stock in a private placement transaction for aggregate gross proceeds of approximately $20,000. The purchase price for the common stock and warrants was $0.20 per unit. The warrants are exercisable at an exercise price of $0.50 at any time from date of issuance until 5 years from the date of issuance.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January 2017, the Company, entered into a common stock purchase agreement (the “Purchase Agreement”) with Aspire Capital Fund, LLC, an Illinois limited liability company (“Aspire Capital”) which provides that, on the terms and subject to the conditions and limitations set forth therein, Aspire Capital is committed to purchase up to an aggregate of $12.0 million of shares of the Company’s common stock over the 30-month term of the Purchase Agreement. On execution of the Purchase Agreement, the Company agreed to sell to Aspire Capital 1,000,000 shares of common stock and warrants to purchase 500,000 shares of common stock for proceeds of $200,000. The Warrant Shares will each have a five-year term and will be exercisable at $0.50 per share. Concurrently with entering into the Purchase Agreement, the Company also entered into a registration rights agreement with Aspire Capital (the “Registration Rights Agreement”), in which the Company agreed to file one or more registration statements, as permissible and necessary to register under the Securities Act of 1933, as amended (the “Securities Act”), registering the sale of the shares of the Company’s common stock that have been and may be issued to Aspire Capital under the Purchase Agreement.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Under the Purchase agreement, after the Securities and Exchange Commission (the “SEC”) has declared effective the registration statement referred to above, on any trading day selected by the Company, the Company has the right, in its sole discretion, to present Aspire Capital with a purchase notice (each, a “Purchase Notice”), directing Aspire Capital (as principal) to purchase up to 100,000 shares of the Company’s common stock per business day, up to $12.0 million of the Company’s common stock in the aggregate at a per share price (the “Purchase Price”) equal to the lesser of:</w:t>
      </w:r>
    </w:p>
    <w:p w:rsidR="00BD0853" w:rsidRPr="00BD0853" w:rsidRDefault="00BD0853" w:rsidP="00BD0853">
      <w:pPr>
        <w:numPr>
          <w:ilvl w:val="0"/>
          <w:numId w:val="1"/>
        </w:num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lowest sale price of the Company’s common stock on the purchase date; or</w:t>
      </w:r>
    </w:p>
    <w:p w:rsidR="00BD0853" w:rsidRPr="00BD0853" w:rsidRDefault="00BD0853" w:rsidP="00BD0853">
      <w:pPr>
        <w:numPr>
          <w:ilvl w:val="0"/>
          <w:numId w:val="1"/>
        </w:num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arithmetic average of the three (3) lowest closing sale prices for the Company’s common stock during the twelve (12) consecutive trading days ending on the trading day immediately preceding the purchase date.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addition, on any date on which the Company submits a Purchase Notice to Aspire Capital in an amount equal to 100,000 shares and the closing sale price of our stock is equal to or greater than $0.30 per share, the Company also has the right, in its sole discretion, to present Aspire Capital with a volume-weighted average price purchase notice (each, a “VWAP Purchase Notice”) directing Aspire Capital to purchase an amount of stock equal to up to 30% of the aggregate shares of the Company’s common stock traded on its principal market on the next trading day (the “VWAP Purchase Date”), subject to a maximum number of shares the Company may determine. The purchase price per share pursuant to such VWAP Purchase Notice is generally 95% of the volume-weighted average price for the Company’s common stock traded on its principal market on the VWAP Purchase Date.</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BIOVIE INC. (F/K/A NANOANTIBIOTICS, INC.)</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Notes to Financial Statements</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For the Three and Nine Months Ended March 31, 2017 and 2016</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(unaudited)</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8. Stockholders’ Equity(continued)</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Purchase Price will be adjusted for any reorganization, recapitalization, non-cash dividend, stock split, or other similar transaction occurring during the period(s) used to compute the Purchase Price. The Company may deliver multiple Purchase Notices and VWAP Purchase Notices to Aspire Capital from time to time during the term of the Purchase Agreement, so long as the most recent purchase has been completed.</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Purchase Agreement provides that the Company and Aspire Capital shall not </w:t>
      </w:r>
      <w:proofErr w:type="spellStart"/>
      <w:r w:rsidRPr="00BD0853">
        <w:rPr>
          <w:rFonts w:ascii="Times New Roman" w:eastAsia="Times New Roman" w:hAnsi="Times New Roman" w:cs="Times New Roman"/>
          <w:sz w:val="20"/>
          <w:szCs w:val="20"/>
        </w:rPr>
        <w:t>effect</w:t>
      </w:r>
      <w:proofErr w:type="spellEnd"/>
      <w:r w:rsidRPr="00BD0853">
        <w:rPr>
          <w:rFonts w:ascii="Times New Roman" w:eastAsia="Times New Roman" w:hAnsi="Times New Roman" w:cs="Times New Roman"/>
          <w:sz w:val="20"/>
          <w:szCs w:val="20"/>
        </w:rPr>
        <w:t xml:space="preserve"> any sales under the Purchase Agreement on any purchase date where the closing sale price of the Company’s common stock is less than $0.10. There are no trading volume requirements or restrictions under the Purchase Agreement, and the Company will control the timing and amount of sales of the Company’s common stock to Aspire Capital. Aspire Capital has no right to require any sales by the Company, but is obligated to make purchases from the Company as directed by the Company in accordance with the Purchase Agreement. There are no limitations on use of proceeds, financial or business covenants, restrictions on future </w:t>
      </w:r>
      <w:proofErr w:type="spellStart"/>
      <w:r w:rsidRPr="00BD0853">
        <w:rPr>
          <w:rFonts w:ascii="Times New Roman" w:eastAsia="Times New Roman" w:hAnsi="Times New Roman" w:cs="Times New Roman"/>
          <w:sz w:val="20"/>
          <w:szCs w:val="20"/>
        </w:rPr>
        <w:t>fundings</w:t>
      </w:r>
      <w:proofErr w:type="spellEnd"/>
      <w:r w:rsidRPr="00BD0853">
        <w:rPr>
          <w:rFonts w:ascii="Times New Roman" w:eastAsia="Times New Roman" w:hAnsi="Times New Roman" w:cs="Times New Roman"/>
          <w:sz w:val="20"/>
          <w:szCs w:val="20"/>
        </w:rPr>
        <w:t>, rights of first refusal, participation rights, penalties or liquidated damages in the Purchase Agreement. In consideration for entering into the Purchase Agreement, concurrently with the execution of the Purchase Agreement, the Company issued to Aspire Capital 2,400,000 shares of the Company’s common stock (the “Commitment Shares”). The Purchase Agreement may be terminated by the Company at any time, at its discretion, without any cost to the Company. Aspire Capital has agreed that neither it nor any of its agents, representatives and affiliates shall engage in any direct or indirect short-selling or hedging of the Company’s common stock during any time prior to the termination of the Purchase Agreement. Any proceeds that the Company receives under the Purchase Agreement are expected to be used for working capital and general corporate purposes.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In March 2017, the Company sold and issued an aggregate of 500,000 shares of common stock and warrants to purchase 250,000 shares of common stock in a private placement transaction for aggregate gross proceeds of approximately $100,000. The purchase price for the common stock and warrants was $0.20 per unit. The warrants are exercisable at an exercise price of $0.50 at any time from date of issuance until 5 years from the date of issuance.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9. Renegotiated Debt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March 23, 2017, Barrett Ehrlich agreed to defer the payment of his consulting fee debt of $173,333.33 until December 31, 2019, through the issuance of a Promissory note. The promissory note does not carry any interest charge </w:t>
      </w:r>
      <w:proofErr w:type="gramStart"/>
      <w:r w:rsidRPr="00BD0853">
        <w:rPr>
          <w:rFonts w:ascii="Times New Roman" w:eastAsia="Times New Roman" w:hAnsi="Times New Roman" w:cs="Times New Roman"/>
          <w:sz w:val="20"/>
          <w:szCs w:val="20"/>
        </w:rPr>
        <w:t>as long as</w:t>
      </w:r>
      <w:proofErr w:type="gramEnd"/>
      <w:r w:rsidRPr="00BD0853">
        <w:rPr>
          <w:rFonts w:ascii="Times New Roman" w:eastAsia="Times New Roman" w:hAnsi="Times New Roman" w:cs="Times New Roman"/>
          <w:sz w:val="20"/>
          <w:szCs w:val="20"/>
        </w:rPr>
        <w:t xml:space="preserve"> the amount is paid in full before December 31, 2019. The consulting fee debt has thereby been reclassified from a current liability to a </w:t>
      </w:r>
      <w:proofErr w:type="gramStart"/>
      <w:r w:rsidRPr="00BD0853">
        <w:rPr>
          <w:rFonts w:ascii="Times New Roman" w:eastAsia="Times New Roman" w:hAnsi="Times New Roman" w:cs="Times New Roman"/>
          <w:sz w:val="20"/>
          <w:szCs w:val="20"/>
        </w:rPr>
        <w:t>long term</w:t>
      </w:r>
      <w:proofErr w:type="gramEnd"/>
      <w:r w:rsidRPr="00BD0853">
        <w:rPr>
          <w:rFonts w:ascii="Times New Roman" w:eastAsia="Times New Roman" w:hAnsi="Times New Roman" w:cs="Times New Roman"/>
          <w:sz w:val="20"/>
          <w:szCs w:val="20"/>
        </w:rPr>
        <w:t xml:space="preserve"> liability on the balance sheet.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March 23, 2017, Elliot Ehrlich agreed to forgive 50% of his salary debt of $444,056.25. The adjusted salary debt is $222,028.13. Elliot Ehrlich also agreed to defer the payment of his salary debt of $222,028.13 until December 31, 2019, through the issuance of a Promissory note. The promissory note does not carry any interest charge </w:t>
      </w:r>
      <w:proofErr w:type="gramStart"/>
      <w:r w:rsidRPr="00BD0853">
        <w:rPr>
          <w:rFonts w:ascii="Times New Roman" w:eastAsia="Times New Roman" w:hAnsi="Times New Roman" w:cs="Times New Roman"/>
          <w:sz w:val="20"/>
          <w:szCs w:val="20"/>
        </w:rPr>
        <w:t>as long as</w:t>
      </w:r>
      <w:proofErr w:type="gramEnd"/>
      <w:r w:rsidRPr="00BD0853">
        <w:rPr>
          <w:rFonts w:ascii="Times New Roman" w:eastAsia="Times New Roman" w:hAnsi="Times New Roman" w:cs="Times New Roman"/>
          <w:sz w:val="20"/>
          <w:szCs w:val="20"/>
        </w:rPr>
        <w:t xml:space="preserve"> the amount is paid in full before December 31, 2019. The salary debt has thereby been reclassified from a current liability to a </w:t>
      </w:r>
      <w:proofErr w:type="gramStart"/>
      <w:r w:rsidRPr="00BD0853">
        <w:rPr>
          <w:rFonts w:ascii="Times New Roman" w:eastAsia="Times New Roman" w:hAnsi="Times New Roman" w:cs="Times New Roman"/>
          <w:sz w:val="20"/>
          <w:szCs w:val="20"/>
        </w:rPr>
        <w:t>long term</w:t>
      </w:r>
      <w:proofErr w:type="gramEnd"/>
      <w:r w:rsidRPr="00BD0853">
        <w:rPr>
          <w:rFonts w:ascii="Times New Roman" w:eastAsia="Times New Roman" w:hAnsi="Times New Roman" w:cs="Times New Roman"/>
          <w:sz w:val="20"/>
          <w:szCs w:val="20"/>
        </w:rPr>
        <w:t xml:space="preserve"> liability on the balance sheet and the salary debt forgiven has been reflected on the income statement as other income.</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On March 23, 2017, Jonathan Adams agreed to defer the payment of his salary debt of $180,555.64 until December 31, 2019, through the issuance of a Promissory note. The promissory note does not carry any interest charge </w:t>
      </w:r>
      <w:proofErr w:type="gramStart"/>
      <w:r w:rsidRPr="00BD0853">
        <w:rPr>
          <w:rFonts w:ascii="Times New Roman" w:eastAsia="Times New Roman" w:hAnsi="Times New Roman" w:cs="Times New Roman"/>
          <w:sz w:val="20"/>
          <w:szCs w:val="20"/>
        </w:rPr>
        <w:t>as long as</w:t>
      </w:r>
      <w:proofErr w:type="gramEnd"/>
      <w:r w:rsidRPr="00BD0853">
        <w:rPr>
          <w:rFonts w:ascii="Times New Roman" w:eastAsia="Times New Roman" w:hAnsi="Times New Roman" w:cs="Times New Roman"/>
          <w:sz w:val="20"/>
          <w:szCs w:val="20"/>
        </w:rPr>
        <w:t xml:space="preserve"> the amount is paid in full before December 31, 2019. The salary debt has thereby been reclassified from a current liability to a </w:t>
      </w:r>
      <w:proofErr w:type="gramStart"/>
      <w:r w:rsidRPr="00BD0853">
        <w:rPr>
          <w:rFonts w:ascii="Times New Roman" w:eastAsia="Times New Roman" w:hAnsi="Times New Roman" w:cs="Times New Roman"/>
          <w:sz w:val="20"/>
          <w:szCs w:val="20"/>
        </w:rPr>
        <w:t>long term</w:t>
      </w:r>
      <w:proofErr w:type="gramEnd"/>
      <w:r w:rsidRPr="00BD0853">
        <w:rPr>
          <w:rFonts w:ascii="Times New Roman" w:eastAsia="Times New Roman" w:hAnsi="Times New Roman" w:cs="Times New Roman"/>
          <w:sz w:val="20"/>
          <w:szCs w:val="20"/>
        </w:rPr>
        <w:t xml:space="preserve"> liability on the balance sheet.</w:t>
      </w:r>
    </w:p>
    <w:p w:rsidR="00BD0853" w:rsidRDefault="00BD0853">
      <w:pPr>
        <w:rPr>
          <w:rFonts w:ascii="Times New Roman" w:eastAsia="Times New Roman" w:hAnsi="Times New Roman" w:cs="Times New Roman"/>
          <w:b/>
          <w:bCs/>
          <w:sz w:val="20"/>
          <w:szCs w:val="20"/>
        </w:rPr>
      </w:pPr>
      <w:bookmarkStart w:id="7" w:name="a_002"/>
      <w:bookmarkEnd w:id="7"/>
      <w:r>
        <w:rPr>
          <w:rFonts w:ascii="Times New Roman" w:eastAsia="Times New Roman" w:hAnsi="Times New Roman" w:cs="Times New Roman"/>
          <w:b/>
          <w:bCs/>
          <w:sz w:val="20"/>
          <w:szCs w:val="20"/>
        </w:rPr>
        <w:br w:type="page"/>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Item 2. Management’s Discussion and Analysis of Financial Condition and Results of Operations</w:t>
      </w:r>
    </w:p>
    <w:p w:rsidR="00BD0853" w:rsidRPr="00BD0853" w:rsidRDefault="00BD0853" w:rsidP="00BD0853">
      <w:pPr>
        <w:spacing w:after="200" w:line="240" w:lineRule="auto"/>
        <w:jc w:val="both"/>
        <w:rPr>
          <w:rFonts w:ascii="Calibri" w:eastAsia="Times New Roman" w:hAnsi="Calibri" w:cs="Times New Roman"/>
          <w:sz w:val="20"/>
          <w:szCs w:val="20"/>
        </w:rPr>
      </w:pPr>
      <w:r w:rsidRPr="00BD0853">
        <w:rPr>
          <w:rFonts w:ascii="Times New Roman" w:eastAsia="Times New Roman" w:hAnsi="Times New Roman" w:cs="Times New Roman"/>
          <w:sz w:val="20"/>
          <w:szCs w:val="20"/>
        </w:rPr>
        <w:t>This report contains forward-looking statements within the meaning of Section 21E of the Securities Exchange Act of 1934, and Section 27A of the Securities Act of 1933. Any statements contained in this report that are not statements of historical fact may be forward-looking statements. When we use the words “intends,” “estimates,” “predicts,” “potential,” “continues,” “anticipates,” “plans,” “expects,” “believes,” “should,” “could,” “may,” “will” or the negative of these terms or other comparable terminology, we are identifying forward-looking statements. Forward-looking statements involve risks and uncertainties, which may cause our actual results, performance or achievements to be materially different from those expressed or implied by forward-looking statements. These factors include our; research and development activities, distributor channel; compliance with regulatory impositions; and our capital needs. Although we believe that the expectations reflected in the forward-looking statements are reasonable, we cannot guarantee future results, levels of activity, performance or achievements.</w:t>
      </w:r>
      <w:r w:rsidRPr="00BD0853">
        <w:rPr>
          <w:rFonts w:ascii="Arial" w:eastAsia="Times New Roman" w:hAnsi="Arial" w:cs="Arial"/>
          <w:sz w:val="20"/>
          <w:szCs w:val="20"/>
        </w:rPr>
        <w:t>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Except as may be required by applicable law, we do not undertake or intend to update or revise our forward-looking statements, and we assume no obligation to update any forward-looking statements contained in this report </w:t>
      </w:r>
      <w:proofErr w:type="gramStart"/>
      <w:r w:rsidRPr="00BD0853">
        <w:rPr>
          <w:rFonts w:ascii="Times New Roman" w:eastAsia="Times New Roman" w:hAnsi="Times New Roman" w:cs="Times New Roman"/>
          <w:sz w:val="20"/>
          <w:szCs w:val="20"/>
        </w:rPr>
        <w:t>as a result of</w:t>
      </w:r>
      <w:proofErr w:type="gramEnd"/>
      <w:r w:rsidRPr="00BD0853">
        <w:rPr>
          <w:rFonts w:ascii="Times New Roman" w:eastAsia="Times New Roman" w:hAnsi="Times New Roman" w:cs="Times New Roman"/>
          <w:sz w:val="20"/>
          <w:szCs w:val="20"/>
        </w:rPr>
        <w:t xml:space="preserve"> new information or future events or developments. Thus, you should not assume that our silence over time means that actual events are bearing out as expressed or implied in such forward-looking statements. You should carefully review and consider the various disclosures we make in this report and our other reports filed with the Securities and Exchange Commission that attempt to advise interested parties of the risks, uncertainties and other factors that may affect our business.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All statements other than statements of historical fact are statements that could be deemed forward-looking statements. The Company assumes no obligation and does not intend to update these forward-looking statements, except as required by law. When used in this report, the terms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xml:space="preserve">”, “Company”, “we”, “our”, and “us” refer to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xml:space="preserve"> Inc.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following discussion of the Company’s financial condition and the results of operations should be read in conjunction with the Financial Statements and Notes thereto appearing elsewhere in this document. </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Private Securities Litigation Reform Act of 1995 provides a safe harbor for forward-looking statements. </w:t>
      </w:r>
      <w:proofErr w:type="gramStart"/>
      <w:r w:rsidRPr="00BD0853">
        <w:rPr>
          <w:rFonts w:ascii="Times New Roman" w:eastAsia="Times New Roman" w:hAnsi="Times New Roman" w:cs="Times New Roman"/>
          <w:sz w:val="20"/>
          <w:szCs w:val="20"/>
        </w:rPr>
        <w:t>In order to</w:t>
      </w:r>
      <w:proofErr w:type="gramEnd"/>
      <w:r w:rsidRPr="00BD0853">
        <w:rPr>
          <w:rFonts w:ascii="Times New Roman" w:eastAsia="Times New Roman" w:hAnsi="Times New Roman" w:cs="Times New Roman"/>
          <w:sz w:val="20"/>
          <w:szCs w:val="20"/>
        </w:rPr>
        <w:t xml:space="preserve"> comply with the terms of the safe harbor, the Company notes that in addition to the description of historical facts contained herein, this report contains certain forward-looking statements that involve risks and uncertainties as detailed herein and from time to time in the Company’s other filings with the Securities and Exchange Commission and elsewhere. Such statements are based on management’s current expectations and are subject to </w:t>
      </w:r>
      <w:proofErr w:type="gramStart"/>
      <w:r w:rsidRPr="00BD0853">
        <w:rPr>
          <w:rFonts w:ascii="Times New Roman" w:eastAsia="Times New Roman" w:hAnsi="Times New Roman" w:cs="Times New Roman"/>
          <w:sz w:val="20"/>
          <w:szCs w:val="20"/>
        </w:rPr>
        <w:t>a number of</w:t>
      </w:r>
      <w:proofErr w:type="gramEnd"/>
      <w:r w:rsidRPr="00BD0853">
        <w:rPr>
          <w:rFonts w:ascii="Times New Roman" w:eastAsia="Times New Roman" w:hAnsi="Times New Roman" w:cs="Times New Roman"/>
          <w:sz w:val="20"/>
          <w:szCs w:val="20"/>
        </w:rPr>
        <w:t xml:space="preserve"> factors and uncertainties, which could cause actual results to differ materially from those, described in the forward-looking statements. These factors include, among others: (a) the Company’s fluctuations in sales and operating results; (b) risks associated with international operations; (c) regulatory, competitive and contractual risks; (d) product development risks; (e) the ability to achieve strategic initiatives, including but not limited to the ability to achieve sales growth across the business segments through a combination of enhanced sales force, new products, and customer service; and (f) pending litigation.</w:t>
      </w:r>
    </w:p>
    <w:p w:rsidR="00BD0853" w:rsidRDefault="00BD085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lastRenderedPageBreak/>
        <w:t>We are a development stage biotechnology company engaged in the discovery, development and commercialization of a therapy targeting ascites due to liver cirrhosis. Ascites due to liver cirrhosis is a life-threatening condition affecting about 100,000 Americans and many times more worldwide. Our therapy BIV201 is based on a drug that is approved in about 50 countries to treat related complications of liver cirrhosis (part of the same disease pathway as ascites), but not yet available in the US. BIV201’s active agent is a potent vasoconstrictor and has shown efficacy for reducing portal hypertension in studies around the world. The goal is for BIV201 to interrupt the ascites disease pathway, thereby halting the cycle of accelerating fluid generation in ascites patients. We are currently completing the work necessary to file our investigational new drug (IND) application, and aim to commence clinical trials should the FDA approve our application. The Company’s activities are subject to significant risks and uncertainties including failure to secure additional funding to properly execute the company’s business plan.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We have incurred $400,527 of operating expenses for the quarter ended March 31, 2017.  We are now engaged in organizational activities and sourcing compounds and materials. We anticipate incurring other costs associated with equipment purchases and general and administrative expenses, including employee salaries and benefits, legal expenses, and other costs associated with an early stage, publicly-traded company.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amounts that we </w:t>
      </w:r>
      <w:proofErr w:type="gramStart"/>
      <w:r w:rsidRPr="00BD0853">
        <w:rPr>
          <w:rFonts w:ascii="Times New Roman" w:eastAsia="Times New Roman" w:hAnsi="Times New Roman" w:cs="Times New Roman"/>
          <w:sz w:val="20"/>
          <w:szCs w:val="20"/>
        </w:rPr>
        <w:t>actually spend</w:t>
      </w:r>
      <w:proofErr w:type="gramEnd"/>
      <w:r w:rsidRPr="00BD0853">
        <w:rPr>
          <w:rFonts w:ascii="Times New Roman" w:eastAsia="Times New Roman" w:hAnsi="Times New Roman" w:cs="Times New Roman"/>
          <w:sz w:val="20"/>
          <w:szCs w:val="20"/>
        </w:rPr>
        <w:t xml:space="preserve"> for any specific purpose may vary significantly, and will depend on a number of factors including, but not limited to, the pace of progress of our research and development, market conditions, and our ability to qualify vendors. In addition, we may use a portion of any net proceeds to acquire complementary compounds; however, we do not have plans for any acquisitions </w:t>
      </w:r>
      <w:proofErr w:type="gramStart"/>
      <w:r w:rsidRPr="00BD0853">
        <w:rPr>
          <w:rFonts w:ascii="Times New Roman" w:eastAsia="Times New Roman" w:hAnsi="Times New Roman" w:cs="Times New Roman"/>
          <w:sz w:val="20"/>
          <w:szCs w:val="20"/>
        </w:rPr>
        <w:t>at this time</w:t>
      </w:r>
      <w:proofErr w:type="gramEnd"/>
      <w:r w:rsidRPr="00BD0853">
        <w:rPr>
          <w:rFonts w:ascii="Times New Roman" w:eastAsia="Times New Roman" w:hAnsi="Times New Roman" w:cs="Times New Roman"/>
          <w:sz w:val="20"/>
          <w:szCs w:val="20"/>
        </w:rPr>
        <w:t>. We will have significant discretion in the use of any net proceeds. Investors will be relying on the judgment of our management regarding the application of the proceeds of any sale of our Common Stock.</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Requirement for Additional Capital</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Company has engaged in research and development activities. </w:t>
      </w:r>
      <w:proofErr w:type="gramStart"/>
      <w:r w:rsidRPr="00BD0853">
        <w:rPr>
          <w:rFonts w:ascii="Times New Roman" w:eastAsia="Times New Roman" w:hAnsi="Times New Roman" w:cs="Times New Roman"/>
          <w:sz w:val="20"/>
          <w:szCs w:val="20"/>
        </w:rPr>
        <w:t>Assuming that</w:t>
      </w:r>
      <w:proofErr w:type="gramEnd"/>
      <w:r w:rsidRPr="00BD0853">
        <w:rPr>
          <w:rFonts w:ascii="Times New Roman" w:eastAsia="Times New Roman" w:hAnsi="Times New Roman" w:cs="Times New Roman"/>
          <w:sz w:val="20"/>
          <w:szCs w:val="20"/>
        </w:rPr>
        <w:t xml:space="preserve"> we are successful in raising additional financing, we plan to incur the following expenses over the next twelve (12) months: </w:t>
      </w:r>
    </w:p>
    <w:tbl>
      <w:tblPr>
        <w:tblW w:w="5000" w:type="pct"/>
        <w:tblCellMar>
          <w:left w:w="0" w:type="dxa"/>
          <w:right w:w="0" w:type="dxa"/>
        </w:tblCellMar>
        <w:tblLook w:val="04A0" w:firstRow="1" w:lastRow="0" w:firstColumn="1" w:lastColumn="0" w:noHBand="0" w:noVBand="1"/>
      </w:tblPr>
      <w:tblGrid>
        <w:gridCol w:w="216"/>
        <w:gridCol w:w="10584"/>
      </w:tblGrid>
      <w:tr w:rsidR="00BD0853" w:rsidRPr="00BD0853" w:rsidTr="00BD0853">
        <w:tc>
          <w:tcPr>
            <w:tcW w:w="100" w:type="pct"/>
            <w:tcMar>
              <w:top w:w="0" w:type="dxa"/>
              <w:left w:w="0" w:type="dxa"/>
              <w:bottom w:w="200" w:type="dxa"/>
              <w:right w:w="0" w:type="dxa"/>
            </w:tcMar>
            <w:hideMark/>
          </w:tcPr>
          <w:p w:rsidR="00BD0853" w:rsidRPr="00BD0853" w:rsidRDefault="00BD0853" w:rsidP="00BD0853">
            <w:pPr>
              <w:spacing w:after="0" w:line="276" w:lineRule="auto"/>
              <w:jc w:val="both"/>
              <w:rPr>
                <w:rFonts w:ascii="Calibri" w:eastAsia="Times New Roman" w:hAnsi="Calibri" w:cs="Times New Roman"/>
              </w:rPr>
            </w:pPr>
            <w:r w:rsidRPr="00BD0853">
              <w:rPr>
                <w:rFonts w:ascii="Times New Roman" w:eastAsia="Times New Roman" w:hAnsi="Times New Roman" w:cs="Times New Roman"/>
                <w:sz w:val="20"/>
                <w:szCs w:val="20"/>
              </w:rPr>
              <w:t>●</w:t>
            </w:r>
          </w:p>
        </w:tc>
        <w:tc>
          <w:tcPr>
            <w:tcW w:w="4900" w:type="pct"/>
            <w:tcMar>
              <w:top w:w="0" w:type="dxa"/>
              <w:left w:w="0" w:type="dxa"/>
              <w:bottom w:w="200" w:type="dxa"/>
              <w:right w:w="0" w:type="dxa"/>
            </w:tcMar>
            <w:hideMark/>
          </w:tcPr>
          <w:p w:rsidR="00BD0853" w:rsidRPr="00BD0853" w:rsidRDefault="00BD0853" w:rsidP="00BD0853">
            <w:pPr>
              <w:spacing w:after="0" w:line="276" w:lineRule="auto"/>
              <w:jc w:val="both"/>
              <w:rPr>
                <w:rFonts w:ascii="Calibri" w:eastAsia="Times New Roman" w:hAnsi="Calibri" w:cs="Times New Roman"/>
              </w:rPr>
            </w:pPr>
            <w:r w:rsidRPr="00BD0853">
              <w:rPr>
                <w:rFonts w:ascii="Times New Roman" w:eastAsia="Times New Roman" w:hAnsi="Times New Roman" w:cs="Times New Roman"/>
                <w:sz w:val="20"/>
                <w:szCs w:val="20"/>
              </w:rPr>
              <w:t>Research and Development of $600,000 which includes planned near-term costs for the development of BIV201.</w:t>
            </w:r>
          </w:p>
        </w:tc>
      </w:tr>
      <w:tr w:rsidR="00BD0853" w:rsidRPr="00BD0853" w:rsidTr="00BD0853">
        <w:tc>
          <w:tcPr>
            <w:tcW w:w="0" w:type="auto"/>
            <w:tcMar>
              <w:top w:w="0" w:type="dxa"/>
              <w:left w:w="0" w:type="dxa"/>
              <w:bottom w:w="200" w:type="dxa"/>
              <w:right w:w="0" w:type="dxa"/>
            </w:tcMar>
            <w:hideMark/>
          </w:tcPr>
          <w:p w:rsidR="00BD0853" w:rsidRPr="00BD0853" w:rsidRDefault="00BD0853" w:rsidP="00BD0853">
            <w:pPr>
              <w:spacing w:after="0" w:line="276" w:lineRule="auto"/>
              <w:jc w:val="both"/>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Mar>
              <w:top w:w="0" w:type="dxa"/>
              <w:left w:w="0" w:type="dxa"/>
              <w:bottom w:w="200" w:type="dxa"/>
              <w:right w:w="0" w:type="dxa"/>
            </w:tcMar>
            <w:hideMark/>
          </w:tcPr>
          <w:p w:rsidR="00BD0853" w:rsidRPr="00BD0853" w:rsidRDefault="00BD0853" w:rsidP="00BD0853">
            <w:pPr>
              <w:spacing w:after="0" w:line="276" w:lineRule="auto"/>
              <w:jc w:val="both"/>
              <w:rPr>
                <w:rFonts w:ascii="Calibri" w:eastAsia="Times New Roman" w:hAnsi="Calibri" w:cs="Times New Roman"/>
              </w:rPr>
            </w:pPr>
            <w:r w:rsidRPr="00BD0853">
              <w:rPr>
                <w:rFonts w:ascii="Times New Roman" w:eastAsia="Times New Roman" w:hAnsi="Times New Roman" w:cs="Times New Roman"/>
                <w:sz w:val="20"/>
                <w:szCs w:val="20"/>
              </w:rPr>
              <w:t>Corporate overhead of $200,000 which includes budgeted legal, accounting and other costs expected to be incurred; and</w:t>
            </w:r>
          </w:p>
        </w:tc>
      </w:tr>
      <w:tr w:rsidR="00BD0853" w:rsidRPr="00BD0853" w:rsidTr="00BD0853">
        <w:tc>
          <w:tcPr>
            <w:tcW w:w="0" w:type="auto"/>
            <w:tcMar>
              <w:top w:w="0" w:type="dxa"/>
              <w:left w:w="0" w:type="dxa"/>
              <w:bottom w:w="200" w:type="dxa"/>
              <w:right w:w="0" w:type="dxa"/>
            </w:tcMar>
            <w:hideMark/>
          </w:tcPr>
          <w:p w:rsidR="00BD0853" w:rsidRPr="00BD0853" w:rsidRDefault="00BD0853" w:rsidP="00BD0853">
            <w:pPr>
              <w:spacing w:after="0" w:line="276" w:lineRule="auto"/>
              <w:jc w:val="both"/>
              <w:rPr>
                <w:rFonts w:ascii="Calibri" w:eastAsia="Times New Roman" w:hAnsi="Calibri" w:cs="Times New Roman"/>
              </w:rPr>
            </w:pPr>
            <w:r w:rsidRPr="00BD0853">
              <w:rPr>
                <w:rFonts w:ascii="Times New Roman" w:eastAsia="Times New Roman" w:hAnsi="Times New Roman" w:cs="Times New Roman"/>
                <w:sz w:val="20"/>
                <w:szCs w:val="20"/>
              </w:rPr>
              <w:t>●</w:t>
            </w:r>
          </w:p>
        </w:tc>
        <w:tc>
          <w:tcPr>
            <w:tcW w:w="0" w:type="auto"/>
            <w:tcMar>
              <w:top w:w="0" w:type="dxa"/>
              <w:left w:w="0" w:type="dxa"/>
              <w:bottom w:w="200" w:type="dxa"/>
              <w:right w:w="0" w:type="dxa"/>
            </w:tcMar>
            <w:hideMark/>
          </w:tcPr>
          <w:p w:rsidR="00BD0853" w:rsidRPr="00BD0853" w:rsidRDefault="00BD0853" w:rsidP="00BD0853">
            <w:pPr>
              <w:spacing w:after="0" w:line="276" w:lineRule="auto"/>
              <w:jc w:val="both"/>
              <w:rPr>
                <w:rFonts w:ascii="Calibri" w:eastAsia="Times New Roman" w:hAnsi="Calibri" w:cs="Times New Roman"/>
              </w:rPr>
            </w:pPr>
            <w:r w:rsidRPr="00BD0853">
              <w:rPr>
                <w:rFonts w:ascii="Times New Roman" w:eastAsia="Times New Roman" w:hAnsi="Times New Roman" w:cs="Times New Roman"/>
                <w:sz w:val="20"/>
                <w:szCs w:val="20"/>
              </w:rPr>
              <w:t>Staffing costs of $250,000</w:t>
            </w:r>
          </w:p>
        </w:tc>
      </w:tr>
    </w:tbl>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 had approximately $35,309 of cash on hand at March 31, 2017 and will be unable to proceed with its planned drug development, meet its administrative expense requirements, capital costs, or staffing costs without obtaining additional net financing of approximately $500,000 to $1,000,000 to meet its near-term budgetary needs. </w:t>
      </w:r>
    </w:p>
    <w:p w:rsidR="00BD0853" w:rsidRPr="00BD0853" w:rsidRDefault="00BD0853" w:rsidP="00BD0853">
      <w:pPr>
        <w:spacing w:after="200" w:line="276"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actual work to be performed can only be broadly projected, as is normal with any scientific work. As further work is performed, additional work may become necessary or change in plans or workload may occur. Such changes may have an adverse impact on our estimated budget. Such changes may also have an adverse impact on our projected timeline of drug development. </w:t>
      </w:r>
    </w:p>
    <w:p w:rsidR="00BD0853" w:rsidRDefault="00BD085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lastRenderedPageBreak/>
        <w:t>Management intends to use capital and debt financing, as required, to fund the Company's operations. There can be no assurance that the Company will be able to obtain the additional capital resources necessary to fund its anticipated obligations for the next twelve (12) months.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Capital Resources and Liquidity</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As of March 31, 2017, we had $35,309 of cash on hand in our corporate bank account. The Company </w:t>
      </w:r>
      <w:proofErr w:type="gramStart"/>
      <w:r w:rsidRPr="00BD0853">
        <w:rPr>
          <w:rFonts w:ascii="Times New Roman" w:eastAsia="Times New Roman" w:hAnsi="Times New Roman" w:cs="Times New Roman"/>
          <w:sz w:val="20"/>
          <w:szCs w:val="20"/>
        </w:rPr>
        <w:t>is considered to be</w:t>
      </w:r>
      <w:proofErr w:type="gramEnd"/>
      <w:r w:rsidRPr="00BD0853">
        <w:rPr>
          <w:rFonts w:ascii="Times New Roman" w:eastAsia="Times New Roman" w:hAnsi="Times New Roman" w:cs="Times New Roman"/>
          <w:sz w:val="20"/>
          <w:szCs w:val="20"/>
        </w:rPr>
        <w:t xml:space="preserve"> a development stage company and will continue in the development stage until generating revenues from the sales of its products or services. As a result, the report of the independent registered public accounting firm on our financial statements as of June 30, 2016, contains an explanatory paragraph regarding a substantial doubt about our ability to continue as a going concern.</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Currently we do not have sufficient funds for the next (12) twelve months and must raise cash to implement our strategy. If we are unable to raise additional funds to develop our compounds, we may be required to scale back our development plans by reducing expenditures for employees, consultants, business development, and other envisioned expenditures. This could reduce our ability to develop BIV201, our drug candidate, and implement our business plan. In that event, investors should anticipate that their entire investment may be lost and there may be no ability to profit from this investment.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We cannot assure you that our drug candidate will be developed, work, or receive regulatory approval; that we will ever earn revenues sufficient to support our operations or that we will ever be profitable. Furthermore, since we have no committed source of financing, we cannot assure you that we will be able to raise money as and when we need it to continue our operations. If we cannot raise funds as and when we need them, we may be required to severely curtail, or even to cease, our operations.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If we are unable to raise additional funds, we will need to do one or more of the following</w:t>
      </w:r>
    </w:p>
    <w:tbl>
      <w:tblPr>
        <w:tblW w:w="5000" w:type="pct"/>
        <w:tblCellMar>
          <w:left w:w="0" w:type="dxa"/>
          <w:right w:w="0" w:type="dxa"/>
        </w:tblCellMar>
        <w:tblLook w:val="04A0" w:firstRow="1" w:lastRow="0" w:firstColumn="1" w:lastColumn="0" w:noHBand="0" w:noVBand="1"/>
      </w:tblPr>
      <w:tblGrid>
        <w:gridCol w:w="108"/>
        <w:gridCol w:w="10692"/>
      </w:tblGrid>
      <w:tr w:rsidR="00BD0853" w:rsidRPr="00BD0853" w:rsidTr="00BD0853">
        <w:tc>
          <w:tcPr>
            <w:tcW w:w="50" w:type="pct"/>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4950" w:type="pct"/>
            <w:tcMar>
              <w:top w:w="0" w:type="dxa"/>
              <w:left w:w="720" w:type="dxa"/>
              <w:bottom w:w="200" w:type="dxa"/>
              <w:right w:w="0" w:type="dxa"/>
            </w:tcMar>
            <w:hideMark/>
          </w:tcPr>
          <w:p w:rsidR="00BD0853" w:rsidRPr="00BD0853" w:rsidRDefault="00BD0853" w:rsidP="00BD0853">
            <w:pPr>
              <w:spacing w:after="0" w:line="276" w:lineRule="auto"/>
              <w:ind w:hanging="360"/>
              <w:rPr>
                <w:rFonts w:ascii="Calibri" w:eastAsia="Times New Roman" w:hAnsi="Calibri" w:cs="Times New Roman"/>
              </w:rPr>
            </w:pPr>
            <w:r w:rsidRPr="00BD0853">
              <w:rPr>
                <w:rFonts w:ascii="Symbol" w:eastAsia="Times New Roman" w:hAnsi="Symbol" w:cs="Times New Roman"/>
                <w:sz w:val="20"/>
                <w:szCs w:val="20"/>
              </w:rPr>
              <w:t></w:t>
            </w:r>
            <w:r w:rsidRPr="00BD0853">
              <w:rPr>
                <w:rFonts w:ascii="Times New Roman" w:eastAsia="Times New Roman" w:hAnsi="Times New Roman" w:cs="Times New Roman"/>
                <w:sz w:val="14"/>
                <w:szCs w:val="14"/>
              </w:rPr>
              <w:t xml:space="preserve">         </w:t>
            </w:r>
            <w:r w:rsidRPr="00BD0853">
              <w:rPr>
                <w:rFonts w:ascii="Times New Roman" w:eastAsia="Times New Roman" w:hAnsi="Times New Roman" w:cs="Times New Roman"/>
                <w:sz w:val="20"/>
                <w:szCs w:val="20"/>
              </w:rPr>
              <w:t xml:space="preserve">delay, scale-back or eliminate some or </w:t>
            </w:r>
            <w:proofErr w:type="gramStart"/>
            <w:r w:rsidRPr="00BD0853">
              <w:rPr>
                <w:rFonts w:ascii="Times New Roman" w:eastAsia="Times New Roman" w:hAnsi="Times New Roman" w:cs="Times New Roman"/>
                <w:sz w:val="20"/>
                <w:szCs w:val="20"/>
              </w:rPr>
              <w:t>all of</w:t>
            </w:r>
            <w:proofErr w:type="gramEnd"/>
            <w:r w:rsidRPr="00BD0853">
              <w:rPr>
                <w:rFonts w:ascii="Times New Roman" w:eastAsia="Times New Roman" w:hAnsi="Times New Roman" w:cs="Times New Roman"/>
                <w:sz w:val="20"/>
                <w:szCs w:val="20"/>
              </w:rPr>
              <w:t xml:space="preserve"> our research and product development programs;</w:t>
            </w:r>
          </w:p>
        </w:tc>
      </w:tr>
      <w:tr w:rsidR="00BD0853" w:rsidRPr="00BD0853" w:rsidTr="00BD0853">
        <w:tc>
          <w:tcPr>
            <w:tcW w:w="0" w:type="auto"/>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720" w:type="dxa"/>
              <w:bottom w:w="200" w:type="dxa"/>
              <w:right w:w="0" w:type="dxa"/>
            </w:tcMar>
            <w:hideMark/>
          </w:tcPr>
          <w:p w:rsidR="00BD0853" w:rsidRPr="00BD0853" w:rsidRDefault="00BD0853" w:rsidP="00BD0853">
            <w:pPr>
              <w:spacing w:after="0" w:line="276" w:lineRule="auto"/>
              <w:ind w:hanging="360"/>
              <w:rPr>
                <w:rFonts w:ascii="Calibri" w:eastAsia="Times New Roman" w:hAnsi="Calibri" w:cs="Times New Roman"/>
              </w:rPr>
            </w:pPr>
            <w:r w:rsidRPr="00BD0853">
              <w:rPr>
                <w:rFonts w:ascii="Symbol" w:eastAsia="Times New Roman" w:hAnsi="Symbol" w:cs="Times New Roman"/>
                <w:sz w:val="20"/>
                <w:szCs w:val="20"/>
              </w:rPr>
              <w:t></w:t>
            </w:r>
            <w:r w:rsidRPr="00BD0853">
              <w:rPr>
                <w:rFonts w:ascii="Times New Roman" w:eastAsia="Times New Roman" w:hAnsi="Times New Roman" w:cs="Times New Roman"/>
                <w:sz w:val="14"/>
                <w:szCs w:val="14"/>
              </w:rPr>
              <w:t xml:space="preserve">         </w:t>
            </w:r>
            <w:r w:rsidRPr="00BD0853">
              <w:rPr>
                <w:rFonts w:ascii="Times New Roman" w:eastAsia="Times New Roman" w:hAnsi="Times New Roman" w:cs="Times New Roman"/>
                <w:sz w:val="20"/>
                <w:szCs w:val="20"/>
              </w:rPr>
              <w:t>provide licenses to third parties to develop and commercialize products or technologies that we would otherwise seek to develop and commercialize ourselves;</w:t>
            </w:r>
          </w:p>
        </w:tc>
      </w:tr>
      <w:tr w:rsidR="00BD0853" w:rsidRPr="00BD0853" w:rsidTr="00BD0853">
        <w:tc>
          <w:tcPr>
            <w:tcW w:w="0" w:type="auto"/>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720" w:type="dxa"/>
              <w:bottom w:w="200" w:type="dxa"/>
              <w:right w:w="0" w:type="dxa"/>
            </w:tcMar>
            <w:hideMark/>
          </w:tcPr>
          <w:p w:rsidR="00BD0853" w:rsidRPr="00BD0853" w:rsidRDefault="00BD0853" w:rsidP="00BD0853">
            <w:pPr>
              <w:spacing w:after="0" w:line="276" w:lineRule="auto"/>
              <w:ind w:hanging="360"/>
              <w:rPr>
                <w:rFonts w:ascii="Calibri" w:eastAsia="Times New Roman" w:hAnsi="Calibri" w:cs="Times New Roman"/>
              </w:rPr>
            </w:pPr>
            <w:r w:rsidRPr="00BD0853">
              <w:rPr>
                <w:rFonts w:ascii="Symbol" w:eastAsia="Times New Roman" w:hAnsi="Symbol" w:cs="Times New Roman"/>
                <w:sz w:val="20"/>
                <w:szCs w:val="20"/>
              </w:rPr>
              <w:t></w:t>
            </w:r>
            <w:r w:rsidRPr="00BD0853">
              <w:rPr>
                <w:rFonts w:ascii="Times New Roman" w:eastAsia="Times New Roman" w:hAnsi="Times New Roman" w:cs="Times New Roman"/>
                <w:sz w:val="14"/>
                <w:szCs w:val="14"/>
              </w:rPr>
              <w:t xml:space="preserve">         </w:t>
            </w:r>
            <w:r w:rsidRPr="00BD0853">
              <w:rPr>
                <w:rFonts w:ascii="Times New Roman" w:eastAsia="Times New Roman" w:hAnsi="Times New Roman" w:cs="Times New Roman"/>
                <w:sz w:val="20"/>
                <w:szCs w:val="20"/>
              </w:rPr>
              <w:t>seek strategic alliances or business combinations;</w:t>
            </w:r>
          </w:p>
        </w:tc>
      </w:tr>
      <w:tr w:rsidR="00BD0853" w:rsidRPr="00BD0853" w:rsidTr="00BD0853">
        <w:tc>
          <w:tcPr>
            <w:tcW w:w="0" w:type="auto"/>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720" w:type="dxa"/>
              <w:bottom w:w="200" w:type="dxa"/>
              <w:right w:w="0" w:type="dxa"/>
            </w:tcMar>
            <w:hideMark/>
          </w:tcPr>
          <w:p w:rsidR="00BD0853" w:rsidRPr="00BD0853" w:rsidRDefault="00BD0853" w:rsidP="00BD0853">
            <w:pPr>
              <w:spacing w:after="0" w:line="276" w:lineRule="auto"/>
              <w:ind w:hanging="360"/>
              <w:rPr>
                <w:rFonts w:ascii="Calibri" w:eastAsia="Times New Roman" w:hAnsi="Calibri" w:cs="Times New Roman"/>
              </w:rPr>
            </w:pPr>
            <w:r w:rsidRPr="00BD0853">
              <w:rPr>
                <w:rFonts w:ascii="Symbol" w:eastAsia="Times New Roman" w:hAnsi="Symbol" w:cs="Times New Roman"/>
                <w:sz w:val="20"/>
                <w:szCs w:val="20"/>
              </w:rPr>
              <w:t></w:t>
            </w:r>
            <w:r w:rsidRPr="00BD0853">
              <w:rPr>
                <w:rFonts w:ascii="Times New Roman" w:eastAsia="Times New Roman" w:hAnsi="Times New Roman" w:cs="Times New Roman"/>
                <w:sz w:val="14"/>
                <w:szCs w:val="14"/>
              </w:rPr>
              <w:t xml:space="preserve">         </w:t>
            </w:r>
            <w:r w:rsidRPr="00BD0853">
              <w:rPr>
                <w:rFonts w:ascii="Times New Roman" w:eastAsia="Times New Roman" w:hAnsi="Times New Roman" w:cs="Times New Roman"/>
                <w:sz w:val="20"/>
                <w:szCs w:val="20"/>
              </w:rPr>
              <w:t>attempt to sell our company;</w:t>
            </w:r>
          </w:p>
        </w:tc>
      </w:tr>
      <w:tr w:rsidR="00BD0853" w:rsidRPr="00BD0853" w:rsidTr="00BD0853">
        <w:tc>
          <w:tcPr>
            <w:tcW w:w="0" w:type="auto"/>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720" w:type="dxa"/>
              <w:bottom w:w="200" w:type="dxa"/>
              <w:right w:w="0" w:type="dxa"/>
            </w:tcMar>
            <w:hideMark/>
          </w:tcPr>
          <w:p w:rsidR="00BD0853" w:rsidRPr="00BD0853" w:rsidRDefault="00BD0853" w:rsidP="00BD0853">
            <w:pPr>
              <w:spacing w:after="0" w:line="276" w:lineRule="auto"/>
              <w:ind w:hanging="360"/>
              <w:rPr>
                <w:rFonts w:ascii="Calibri" w:eastAsia="Times New Roman" w:hAnsi="Calibri" w:cs="Times New Roman"/>
              </w:rPr>
            </w:pPr>
            <w:r w:rsidRPr="00BD0853">
              <w:rPr>
                <w:rFonts w:ascii="Symbol" w:eastAsia="Times New Roman" w:hAnsi="Symbol" w:cs="Times New Roman"/>
                <w:sz w:val="20"/>
                <w:szCs w:val="20"/>
              </w:rPr>
              <w:t></w:t>
            </w:r>
            <w:r w:rsidRPr="00BD0853">
              <w:rPr>
                <w:rFonts w:ascii="Times New Roman" w:eastAsia="Times New Roman" w:hAnsi="Times New Roman" w:cs="Times New Roman"/>
                <w:sz w:val="14"/>
                <w:szCs w:val="14"/>
              </w:rPr>
              <w:t xml:space="preserve">         </w:t>
            </w:r>
            <w:r w:rsidRPr="00BD0853">
              <w:rPr>
                <w:rFonts w:ascii="Times New Roman" w:eastAsia="Times New Roman" w:hAnsi="Times New Roman" w:cs="Times New Roman"/>
                <w:sz w:val="20"/>
                <w:szCs w:val="20"/>
              </w:rPr>
              <w:t>cease operations; or</w:t>
            </w:r>
          </w:p>
        </w:tc>
      </w:tr>
      <w:tr w:rsidR="00BD0853" w:rsidRPr="00BD0853" w:rsidTr="00BD0853">
        <w:tc>
          <w:tcPr>
            <w:tcW w:w="0" w:type="auto"/>
            <w:hideMark/>
          </w:tcPr>
          <w:p w:rsidR="00BD0853" w:rsidRPr="00BD0853" w:rsidRDefault="00BD0853" w:rsidP="00BD0853">
            <w:pPr>
              <w:spacing w:after="0" w:line="240" w:lineRule="auto"/>
              <w:rPr>
                <w:rFonts w:ascii="Calibri" w:eastAsia="Times New Roman" w:hAnsi="Calibri" w:cs="Times New Roman"/>
              </w:rPr>
            </w:pPr>
            <w:r w:rsidRPr="00BD0853">
              <w:rPr>
                <w:rFonts w:ascii="Calibri" w:eastAsia="Times New Roman" w:hAnsi="Calibri" w:cs="Times New Roman"/>
              </w:rPr>
              <w:t> </w:t>
            </w:r>
          </w:p>
        </w:tc>
        <w:tc>
          <w:tcPr>
            <w:tcW w:w="0" w:type="auto"/>
            <w:tcMar>
              <w:top w:w="0" w:type="dxa"/>
              <w:left w:w="720" w:type="dxa"/>
              <w:bottom w:w="200" w:type="dxa"/>
              <w:right w:w="0" w:type="dxa"/>
            </w:tcMar>
            <w:hideMark/>
          </w:tcPr>
          <w:p w:rsidR="00BD0853" w:rsidRPr="00BD0853" w:rsidRDefault="00BD0853" w:rsidP="00BD0853">
            <w:pPr>
              <w:spacing w:after="0" w:line="276" w:lineRule="auto"/>
              <w:ind w:hanging="360"/>
              <w:rPr>
                <w:rFonts w:ascii="Calibri" w:eastAsia="Times New Roman" w:hAnsi="Calibri" w:cs="Times New Roman"/>
              </w:rPr>
            </w:pPr>
            <w:r w:rsidRPr="00BD0853">
              <w:rPr>
                <w:rFonts w:ascii="Symbol" w:eastAsia="Times New Roman" w:hAnsi="Symbol" w:cs="Times New Roman"/>
                <w:sz w:val="20"/>
                <w:szCs w:val="20"/>
              </w:rPr>
              <w:t></w:t>
            </w:r>
            <w:r w:rsidRPr="00BD0853">
              <w:rPr>
                <w:rFonts w:ascii="Times New Roman" w:eastAsia="Times New Roman" w:hAnsi="Times New Roman" w:cs="Times New Roman"/>
                <w:sz w:val="14"/>
                <w:szCs w:val="14"/>
              </w:rPr>
              <w:t xml:space="preserve">         </w:t>
            </w:r>
            <w:r w:rsidRPr="00BD0853">
              <w:rPr>
                <w:rFonts w:ascii="Times New Roman" w:eastAsia="Times New Roman" w:hAnsi="Times New Roman" w:cs="Times New Roman"/>
                <w:sz w:val="20"/>
                <w:szCs w:val="20"/>
              </w:rPr>
              <w:t>declare bankruptcy.</w:t>
            </w:r>
          </w:p>
        </w:tc>
      </w:tr>
    </w:tbl>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The above conditions raise doubt about our ability to continue as a going concern.  The financial statements included elsewhere herein were prepared under the assumption that we would continue our operations as a going concern.  Our financial statements do not include any adjustments that may result from the outcome of this uncertainty.  Without additional funds from debt or equity financing, sales of our intellectual property or technologies, or from a business combination or a similar transaction, we will soon exhaust our resources and will be unable to continue operations.  If we cannot continue as a viable entity, our stockholders may lose some or </w:t>
      </w:r>
      <w:proofErr w:type="gramStart"/>
      <w:r w:rsidRPr="00BD0853">
        <w:rPr>
          <w:rFonts w:ascii="Times New Roman" w:eastAsia="Times New Roman" w:hAnsi="Times New Roman" w:cs="Times New Roman"/>
          <w:sz w:val="20"/>
          <w:szCs w:val="20"/>
        </w:rPr>
        <w:t>all of</w:t>
      </w:r>
      <w:proofErr w:type="gramEnd"/>
      <w:r w:rsidRPr="00BD0853">
        <w:rPr>
          <w:rFonts w:ascii="Times New Roman" w:eastAsia="Times New Roman" w:hAnsi="Times New Roman" w:cs="Times New Roman"/>
          <w:sz w:val="20"/>
          <w:szCs w:val="20"/>
        </w:rPr>
        <w:t xml:space="preserve"> their investment in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w:t>
      </w:r>
    </w:p>
    <w:p w:rsidR="00BD0853" w:rsidRDefault="00BD0853">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lastRenderedPageBreak/>
        <w:t xml:space="preserve">Our management intends to attempt to secure additional required funding primarily through additional equity or debt financings.  We may also seek to secure required funding through sales or out-licensing of intellectual property assets, seeking partnerships with other pharmaceutical companies or third parties to co-develop and fund research and development efforts, or similar transactions.  However, there can be no assurance that we will be able to obtain required funding.  If we are unsuccessful in securing funding from any of these sources, we will defer, reduce or eliminate certain planned expenditures in our research protocols.  If we do not have sufficient funds to continue operations, we could be required to seek bankruptcy protection or other alternatives that could result in our stockholders losing some or </w:t>
      </w:r>
      <w:proofErr w:type="gramStart"/>
      <w:r w:rsidRPr="00BD0853">
        <w:rPr>
          <w:rFonts w:ascii="Times New Roman" w:eastAsia="Times New Roman" w:hAnsi="Times New Roman" w:cs="Times New Roman"/>
          <w:sz w:val="20"/>
          <w:szCs w:val="20"/>
        </w:rPr>
        <w:t>all of</w:t>
      </w:r>
      <w:proofErr w:type="gramEnd"/>
      <w:r w:rsidRPr="00BD0853">
        <w:rPr>
          <w:rFonts w:ascii="Times New Roman" w:eastAsia="Times New Roman" w:hAnsi="Times New Roman" w:cs="Times New Roman"/>
          <w:sz w:val="20"/>
          <w:szCs w:val="20"/>
        </w:rPr>
        <w:t xml:space="preserve"> their investment in us.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Emerging Growth Company</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We are an “emerging growth company” under the federal securities laws and will be subject to reduced public company reporting requirements. In addition, Section 107 of the JOBS Act also provides that an “emerging growth company” can take advantage of the extended transition period provided in Section 7(a)(2)(B) of the Securities Act for complying with new or revised accounting standards. In other words, an “emerging growth company” can delay the adoption of certain accounting standards until those standards would otherwise apply to private companies. We are choosing to take advantage of the extended transition period for complying with new or revised accounting standards.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Off-Balance Sheet Arrangements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 has no off-balance sheet arrangements that have or are reasonably likely to have a current or future effect or change on the Company’s financial condition, revenues or expenses, results of operations, liquidity, capital expenditures or capital resources that are material to investors. The term “off-balance sheet arrangement” generally means any transaction, agreement or other contractual arrangement to which an entity unconsolidated with the Company is a party, under which the Company has (i) any obligation arising under a guarantee contract, derivative instrument or variable interest; or (ii) a retained or contingent interest in assets transferred to such entity or similar arrangement that serves as credit, liquidity or market risk support for such assets. </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Results of Operations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Research and Development</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Research and development expenses were $120,043 for the three months ended March 31, 2017, and were $375,872 for the nine months ended March 31, 2017. For the prior year, the Company did not have any research and development expenses. The research and development expenses were primarily due to the expenses incurred for clinical development activities.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Selling, General and Administrative</w:t>
      </w:r>
    </w:p>
    <w:p w:rsidR="00BD0853" w:rsidRPr="00BD0853" w:rsidRDefault="00BD0853" w:rsidP="00BD0853">
      <w:pPr>
        <w:spacing w:after="200" w:line="240" w:lineRule="auto"/>
        <w:jc w:val="both"/>
        <w:rPr>
          <w:rFonts w:ascii="Calibri" w:eastAsia="Times New Roman" w:hAnsi="Calibri" w:cs="Times New Roman"/>
        </w:rPr>
      </w:pPr>
      <w:r w:rsidRPr="00BD0853">
        <w:rPr>
          <w:rFonts w:ascii="Times New Roman" w:eastAsia="Times New Roman" w:hAnsi="Times New Roman" w:cs="Times New Roman"/>
          <w:sz w:val="20"/>
          <w:szCs w:val="20"/>
        </w:rPr>
        <w:t xml:space="preserve">Selling, general and administrative expenses were $25,693 for the three months ended March 31, 2017, an increase of $23,157 compared to $2,536 for the three months ended March 31, 2016. Selling, general and administrative expenses were $35,453 for the nine months ended March 31, 2017, an increase of $27,117, compared to $8,336 for the nine months ended March 31, 2016. </w:t>
      </w:r>
      <w:r w:rsidRPr="00BD0853">
        <w:rPr>
          <w:rFonts w:ascii="Calibri" w:eastAsia="Times New Roman" w:hAnsi="Calibri" w:cs="Times New Roman"/>
          <w:color w:val="222222"/>
          <w:sz w:val="20"/>
          <w:szCs w:val="20"/>
          <w:shd w:val="clear" w:color="auto" w:fill="FFFFFF"/>
        </w:rPr>
        <w:t> </w:t>
      </w:r>
      <w:r w:rsidRPr="00BD0853">
        <w:rPr>
          <w:rFonts w:ascii="Times New Roman" w:eastAsia="Times New Roman" w:hAnsi="Times New Roman" w:cs="Times New Roman"/>
          <w:sz w:val="20"/>
          <w:szCs w:val="20"/>
        </w:rPr>
        <w:t>The increase over the prior year was primarily due to travel and conference expenses</w:t>
      </w:r>
      <w:r w:rsidRPr="00BD0853">
        <w:rPr>
          <w:rFonts w:ascii="Times New Roman" w:eastAsia="Times New Roman" w:hAnsi="Times New Roman" w:cs="Times New Roman"/>
        </w:rPr>
        <w:t> </w:t>
      </w:r>
      <w:r w:rsidRPr="00BD0853">
        <w:rPr>
          <w:rFonts w:ascii="Times New Roman" w:eastAsia="Times New Roman" w:hAnsi="Times New Roman" w:cs="Times New Roman"/>
          <w:sz w:val="20"/>
          <w:szCs w:val="20"/>
        </w:rPr>
        <w:t>associated with financing activities.</w:t>
      </w:r>
      <w:r w:rsidRPr="00BD0853">
        <w:rPr>
          <w:rFonts w:ascii="Calibri" w:eastAsia="Times New Roman" w:hAnsi="Calibri" w:cs="Times New Roman"/>
          <w:color w:val="222222"/>
          <w:sz w:val="20"/>
          <w:szCs w:val="20"/>
          <w:shd w:val="clear" w:color="auto" w:fill="FFFFFF"/>
        </w:rPr>
        <w:t> </w:t>
      </w:r>
    </w:p>
    <w:p w:rsidR="00BD0853" w:rsidRDefault="00BD0853">
      <w:pPr>
        <w:rPr>
          <w:rFonts w:ascii="Times New Roman" w:eastAsia="Times New Roman" w:hAnsi="Times New Roman" w:cs="Times New Roman"/>
          <w:i/>
          <w:iCs/>
          <w:sz w:val="20"/>
          <w:szCs w:val="20"/>
        </w:rPr>
      </w:pPr>
      <w:r>
        <w:rPr>
          <w:rFonts w:ascii="Times New Roman" w:eastAsia="Times New Roman" w:hAnsi="Times New Roman" w:cs="Times New Roman"/>
          <w:i/>
          <w:iCs/>
          <w:sz w:val="20"/>
          <w:szCs w:val="20"/>
        </w:rPr>
        <w:br w:type="page"/>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lastRenderedPageBreak/>
        <w:t>Professional Fees</w:t>
      </w:r>
    </w:p>
    <w:p w:rsidR="00BD0853" w:rsidRPr="00BD0853" w:rsidRDefault="00BD0853" w:rsidP="00BD0853">
      <w:pPr>
        <w:spacing w:after="200" w:line="240" w:lineRule="auto"/>
        <w:jc w:val="both"/>
        <w:rPr>
          <w:rFonts w:ascii="Times New Roman" w:eastAsia="Times New Roman" w:hAnsi="Times New Roman" w:cs="Times New Roman"/>
        </w:rPr>
      </w:pPr>
      <w:r w:rsidRPr="00BD0853">
        <w:rPr>
          <w:rFonts w:ascii="Times New Roman" w:eastAsia="Times New Roman" w:hAnsi="Times New Roman" w:cs="Times New Roman"/>
          <w:sz w:val="20"/>
          <w:szCs w:val="20"/>
        </w:rPr>
        <w:t>Professional fees were $126,098 for the three months ended March 31, 2017, an increase of $111,149, compared to $14,949 for the three months ended March 31, 2016. Professional fees were $312,277 for the nine months ended March 31, 2017, an increase of $279,311, compared to $32,966 for the nine months ended March 31, 2016. The increase in professional fees related to increased costs for commercialization activities, intellectual property management,</w:t>
      </w:r>
      <w:r w:rsidRPr="00BD0853">
        <w:rPr>
          <w:rFonts w:ascii="Times New Roman" w:eastAsia="Times New Roman" w:hAnsi="Times New Roman" w:cs="Times New Roman"/>
        </w:rPr>
        <w:t> </w:t>
      </w:r>
      <w:r w:rsidRPr="00BD0853">
        <w:rPr>
          <w:rFonts w:ascii="Times New Roman" w:eastAsia="Times New Roman" w:hAnsi="Times New Roman" w:cs="Times New Roman"/>
          <w:sz w:val="20"/>
          <w:szCs w:val="20"/>
        </w:rPr>
        <w:t>general legal and financial expenses.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i/>
          <w:iCs/>
          <w:sz w:val="20"/>
          <w:szCs w:val="20"/>
        </w:rPr>
        <w:t>Payroll Expenses</w:t>
      </w:r>
    </w:p>
    <w:p w:rsidR="00BD0853" w:rsidRPr="00BD0853" w:rsidRDefault="00BD0853" w:rsidP="00BD0853">
      <w:pPr>
        <w:spacing w:after="200" w:line="240" w:lineRule="auto"/>
        <w:jc w:val="both"/>
        <w:rPr>
          <w:rFonts w:ascii="Times New Roman" w:eastAsia="Times New Roman" w:hAnsi="Times New Roman" w:cs="Times New Roman"/>
        </w:rPr>
      </w:pPr>
      <w:r w:rsidRPr="00BD0853">
        <w:rPr>
          <w:rFonts w:ascii="Times New Roman" w:eastAsia="Times New Roman" w:hAnsi="Times New Roman" w:cs="Times New Roman"/>
          <w:sz w:val="20"/>
          <w:szCs w:val="20"/>
        </w:rPr>
        <w:t>Payroll expenses were $71,348 for the three months ended March 31, 2017, an increase of $30,979, compared to $40,369 for the three months ended March 31, 2016. Payroll expenses were $214,044 for the nine months ended March 31, 2017, an increase of $92,937, compared to $121,107 for the nine months ended March 31, 2016. The increase in payroll expense was primarily due to an increase in accrued salary for the</w:t>
      </w:r>
      <w:r w:rsidRPr="00BD0853">
        <w:rPr>
          <w:rFonts w:ascii="Times New Roman" w:eastAsia="Times New Roman" w:hAnsi="Times New Roman" w:cs="Times New Roman"/>
        </w:rPr>
        <w:t> </w:t>
      </w:r>
      <w:r w:rsidRPr="00BD0853">
        <w:rPr>
          <w:rFonts w:ascii="Times New Roman" w:eastAsia="Times New Roman" w:hAnsi="Times New Roman" w:cs="Times New Roman"/>
          <w:sz w:val="20"/>
          <w:szCs w:val="20"/>
        </w:rPr>
        <w:t>new chief executive officer, Jonathan Adams who</w:t>
      </w:r>
      <w:r w:rsidRPr="00BD0853">
        <w:rPr>
          <w:rFonts w:ascii="Times New Roman" w:eastAsia="Times New Roman" w:hAnsi="Times New Roman" w:cs="Times New Roman"/>
        </w:rPr>
        <w:t> </w:t>
      </w:r>
      <w:r w:rsidRPr="00BD0853">
        <w:rPr>
          <w:rFonts w:ascii="Times New Roman" w:eastAsia="Times New Roman" w:hAnsi="Times New Roman" w:cs="Times New Roman"/>
          <w:sz w:val="20"/>
          <w:szCs w:val="20"/>
        </w:rPr>
        <w:t>joined the Company in April 2016.</w:t>
      </w:r>
    </w:p>
    <w:p w:rsidR="00BD0853" w:rsidRPr="00BD0853" w:rsidRDefault="00BD0853" w:rsidP="00BD0853">
      <w:pPr>
        <w:spacing w:after="200" w:line="240" w:lineRule="auto"/>
        <w:rPr>
          <w:rFonts w:ascii="Times New Roman" w:eastAsia="Times New Roman" w:hAnsi="Times New Roman" w:cs="Times New Roman"/>
          <w:sz w:val="20"/>
          <w:szCs w:val="20"/>
        </w:rPr>
      </w:pPr>
      <w:bookmarkStart w:id="8" w:name="a_003"/>
      <w:bookmarkEnd w:id="8"/>
      <w:r w:rsidRPr="00BD0853">
        <w:rPr>
          <w:rFonts w:ascii="Times New Roman" w:eastAsia="Times New Roman" w:hAnsi="Times New Roman" w:cs="Times New Roman"/>
          <w:b/>
          <w:bCs/>
          <w:sz w:val="20"/>
          <w:szCs w:val="20"/>
        </w:rPr>
        <w:t>Item 3.  Quantitative and Qualitative Disclosures About Market Risk</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Not applicable</w:t>
      </w:r>
    </w:p>
    <w:p w:rsidR="00BD0853" w:rsidRPr="00BD0853" w:rsidRDefault="00BD0853" w:rsidP="00BD0853">
      <w:pPr>
        <w:spacing w:after="200" w:line="240" w:lineRule="auto"/>
        <w:rPr>
          <w:rFonts w:ascii="Times New Roman" w:eastAsia="Times New Roman" w:hAnsi="Times New Roman" w:cs="Times New Roman"/>
          <w:sz w:val="20"/>
          <w:szCs w:val="20"/>
        </w:rPr>
      </w:pPr>
      <w:bookmarkStart w:id="9" w:name="a_004"/>
      <w:bookmarkEnd w:id="9"/>
      <w:r w:rsidRPr="00BD0853">
        <w:rPr>
          <w:rFonts w:ascii="Times New Roman" w:eastAsia="Times New Roman" w:hAnsi="Times New Roman" w:cs="Times New Roman"/>
          <w:b/>
          <w:bCs/>
          <w:sz w:val="20"/>
          <w:szCs w:val="20"/>
        </w:rPr>
        <w:t>Item 4.  Controls and Procedures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The Company’s Chief Executive Officer and Chief Financial Officer have evaluated the effectiveness of the Company’s disclosure controls and procedures (as defined in Rules 13a-15(e) and 15d-15(e) under the Exchange Act) as of March 31, 2017 covered by this Quarterly Report on Form 10-Q.  Based upon such evaluation, the Chief Executive Officer and Chief Financial Officer have concluded that, as of the end of such period, the Company’s disclosure controls and procedures were not effective as required under Rules 13a-15(e) and 15d-15(e) under the Exchange Act. This conclusion by the Company’s Chief Executive Officer and Chief Financial Officer does not relate to reporting periods after March 31, 2017.</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Changes in Internal Control over Financial Reporting</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 change in the Company’s internal control over financial reporting occurred during the quarter ended March 31, 2017, that materially affected, or is reasonably likely to materially affect, the Company’s internal control over financial reporting.</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PART II. OTHER INFORMATION</w:t>
      </w:r>
    </w:p>
    <w:p w:rsidR="00BD0853" w:rsidRPr="00BD0853" w:rsidRDefault="00BD0853" w:rsidP="00BD0853">
      <w:pPr>
        <w:spacing w:after="200" w:line="240" w:lineRule="auto"/>
        <w:rPr>
          <w:rFonts w:ascii="Times New Roman" w:eastAsia="Times New Roman" w:hAnsi="Times New Roman" w:cs="Times New Roman"/>
          <w:sz w:val="20"/>
          <w:szCs w:val="20"/>
        </w:rPr>
      </w:pPr>
      <w:bookmarkStart w:id="10" w:name="a_005"/>
      <w:bookmarkEnd w:id="10"/>
      <w:r w:rsidRPr="00BD0853">
        <w:rPr>
          <w:rFonts w:ascii="Times New Roman" w:eastAsia="Times New Roman" w:hAnsi="Times New Roman" w:cs="Times New Roman"/>
          <w:b/>
          <w:bCs/>
          <w:sz w:val="20"/>
          <w:szCs w:val="20"/>
        </w:rPr>
        <w:t>Item 1. Legal Proceedings</w:t>
      </w:r>
    </w:p>
    <w:p w:rsidR="00BD0853" w:rsidRPr="00BD0853" w:rsidRDefault="00BD0853" w:rsidP="00BD0853">
      <w:pPr>
        <w:spacing w:after="20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To our knowledge, neither the Company nor any of our officers or directors is a party to any material legal proceeding or litigation and such persons know of no material legal proceeding or contemplated or threatened litigation. There are no judgments against us or our officers or directors. None of our officers or directors has been convicted of a felony or misdemeanor relating to securities or performance in corporate office.</w:t>
      </w:r>
    </w:p>
    <w:p w:rsidR="00BD0853" w:rsidRPr="00BD0853" w:rsidRDefault="00BD0853" w:rsidP="00BD0853">
      <w:pPr>
        <w:spacing w:after="200" w:line="240" w:lineRule="auto"/>
        <w:rPr>
          <w:rFonts w:ascii="Times New Roman" w:eastAsia="Times New Roman" w:hAnsi="Times New Roman" w:cs="Times New Roman"/>
          <w:sz w:val="20"/>
          <w:szCs w:val="20"/>
        </w:rPr>
      </w:pPr>
      <w:bookmarkStart w:id="11" w:name="a_006"/>
      <w:bookmarkEnd w:id="11"/>
      <w:r w:rsidRPr="00BD0853">
        <w:rPr>
          <w:rFonts w:ascii="Times New Roman" w:eastAsia="Times New Roman" w:hAnsi="Times New Roman" w:cs="Times New Roman"/>
          <w:b/>
          <w:bCs/>
          <w:sz w:val="20"/>
          <w:szCs w:val="20"/>
        </w:rPr>
        <w:t>Item 2. Unregistered sales of equity securities</w:t>
      </w:r>
    </w:p>
    <w:p w:rsidR="00BD0853" w:rsidRPr="00BD0853" w:rsidRDefault="00BD0853" w:rsidP="00BD0853">
      <w:pPr>
        <w:spacing w:after="20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None</w:t>
      </w:r>
    </w:p>
    <w:p w:rsidR="00BD0853" w:rsidRPr="00BD0853" w:rsidRDefault="00BD0853" w:rsidP="00BD0853">
      <w:pPr>
        <w:spacing w:after="0" w:line="240" w:lineRule="auto"/>
        <w:rPr>
          <w:rFonts w:ascii="Times New Roman" w:eastAsia="Times New Roman" w:hAnsi="Times New Roman" w:cs="Times New Roman"/>
          <w:sz w:val="20"/>
          <w:szCs w:val="20"/>
        </w:rPr>
      </w:pPr>
      <w:bookmarkStart w:id="12" w:name="a_007"/>
      <w:bookmarkEnd w:id="12"/>
      <w:r w:rsidRPr="00BD0853">
        <w:rPr>
          <w:rFonts w:ascii="Times New Roman" w:eastAsia="Times New Roman" w:hAnsi="Times New Roman" w:cs="Times New Roman"/>
          <w:b/>
          <w:bCs/>
          <w:sz w:val="20"/>
          <w:szCs w:val="20"/>
        </w:rPr>
        <w:t>Item 3. Defaults Upon Senior Securities</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None</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bookmarkStart w:id="13" w:name="a_008"/>
      <w:bookmarkEnd w:id="13"/>
      <w:r w:rsidRPr="00BD0853">
        <w:rPr>
          <w:rFonts w:ascii="Times New Roman" w:eastAsia="Times New Roman" w:hAnsi="Times New Roman" w:cs="Times New Roman"/>
          <w:b/>
          <w:bCs/>
          <w:sz w:val="20"/>
          <w:szCs w:val="20"/>
        </w:rPr>
        <w:t>Item 4.  Mine Safety Disclosures</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None</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bookmarkStart w:id="14" w:name="a_009"/>
      <w:bookmarkEnd w:id="14"/>
      <w:r w:rsidRPr="00BD0853">
        <w:rPr>
          <w:rFonts w:ascii="Times New Roman" w:eastAsia="Times New Roman" w:hAnsi="Times New Roman" w:cs="Times New Roman"/>
          <w:b/>
          <w:bCs/>
          <w:sz w:val="20"/>
          <w:szCs w:val="20"/>
        </w:rPr>
        <w:t>Item 5.  Other Information</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None</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bookmarkStart w:id="15" w:name="a_010"/>
      <w:bookmarkEnd w:id="15"/>
      <w:r w:rsidRPr="00BD0853">
        <w:rPr>
          <w:rFonts w:ascii="Times New Roman" w:eastAsia="Times New Roman" w:hAnsi="Times New Roman" w:cs="Times New Roman"/>
          <w:b/>
          <w:bCs/>
          <w:sz w:val="20"/>
          <w:szCs w:val="20"/>
        </w:rPr>
        <w:t>Item 6. Exhibits</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(a)</w:t>
      </w:r>
      <w:r w:rsidRPr="00BD0853">
        <w:rPr>
          <w:rFonts w:ascii="Times New Roman" w:eastAsia="Times New Roman" w:hAnsi="Times New Roman" w:cs="Times New Roman"/>
          <w:b/>
          <w:bCs/>
          <w:sz w:val="20"/>
          <w:szCs w:val="20"/>
        </w:rPr>
        <w:t> </w:t>
      </w:r>
      <w:r w:rsidRPr="00BD0853">
        <w:rPr>
          <w:rFonts w:ascii="Times New Roman" w:eastAsia="Times New Roman" w:hAnsi="Times New Roman" w:cs="Times New Roman"/>
          <w:sz w:val="20"/>
          <w:szCs w:val="20"/>
        </w:rPr>
        <w:t>Exhibit index</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350"/>
        <w:gridCol w:w="203"/>
        <w:gridCol w:w="10247"/>
      </w:tblGrid>
      <w:tr w:rsidR="00BD0853" w:rsidRPr="00BD0853" w:rsidTr="00BD0853">
        <w:tc>
          <w:tcPr>
            <w:tcW w:w="0" w:type="auto"/>
            <w:gridSpan w:val="3"/>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b/>
                <w:bCs/>
                <w:sz w:val="20"/>
                <w:szCs w:val="20"/>
              </w:rPr>
              <w:t>Exhibit </w:t>
            </w:r>
          </w:p>
        </w:tc>
      </w:tr>
      <w:tr w:rsidR="00BD0853" w:rsidRPr="00BD0853" w:rsidTr="00BD0853">
        <w:tc>
          <w:tcPr>
            <w:tcW w:w="0" w:type="auto"/>
            <w:gridSpan w:val="3"/>
            <w:vAlign w:val="center"/>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150" w:type="pct"/>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31.1</w:t>
            </w:r>
          </w:p>
        </w:tc>
        <w:tc>
          <w:tcPr>
            <w:tcW w:w="100" w:type="pct"/>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4750" w:type="pct"/>
            <w:vAlign w:val="bottom"/>
            <w:hideMark/>
          </w:tcPr>
          <w:p w:rsidR="00BD0853" w:rsidRPr="00BD0853" w:rsidRDefault="00BD0853" w:rsidP="00BD0853">
            <w:pPr>
              <w:spacing w:after="0" w:line="276" w:lineRule="auto"/>
              <w:rPr>
                <w:rFonts w:ascii="Calibri" w:eastAsia="Times New Roman" w:hAnsi="Calibri" w:cs="Times New Roman"/>
              </w:rPr>
            </w:pPr>
            <w:hyperlink r:id="rId5" w:history="1">
              <w:r w:rsidRPr="00BD0853">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r w:rsidR="00BD0853" w:rsidRPr="00BD0853" w:rsidTr="00BD0853">
        <w:tc>
          <w:tcPr>
            <w:tcW w:w="0" w:type="auto"/>
            <w:vAlign w:val="center"/>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gridSpan w:val="2"/>
            <w:vAlign w:val="center"/>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32.1</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hyperlink r:id="rId6" w:history="1">
              <w:r w:rsidRPr="00BD0853">
                <w:rPr>
                  <w:rFonts w:ascii="Times New Roman" w:eastAsia="Times New Roman" w:hAnsi="Times New Roman" w:cs="Times New Roman"/>
                  <w:color w:val="0000FF"/>
                  <w:sz w:val="20"/>
                  <w:szCs w:val="20"/>
                  <w:u w:val="single"/>
                </w:rPr>
                <w:t>Certification of Chief Executive Officer, Chief Financial Officer, Chief Accounting Officer required by Rule 13a-14(a) or Rule 15d-14(a) under the Securities Exchange Act of 1934, as amended.</w:t>
              </w:r>
            </w:hyperlink>
          </w:p>
        </w:tc>
      </w:tr>
    </w:tbl>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(b)  Reports on Form 8-K</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None.</w:t>
      </w:r>
    </w:p>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lastRenderedPageBreak/>
        <w:t>SIGNATURES</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Pursuant to the requirements of Section 13 or 15(d) of the Securities Exchange Act of 1934, the Registrant has duly caused this report to be signed on its behalf by the undersigned, thereunto duly authorized.</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p w:rsidR="00BD0853" w:rsidRPr="00BD0853" w:rsidRDefault="00BD0853" w:rsidP="00BD0853">
      <w:pPr>
        <w:spacing w:after="0" w:line="240" w:lineRule="auto"/>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BIOVIE, INC.</w:t>
      </w:r>
    </w:p>
    <w:tbl>
      <w:tblPr>
        <w:tblW w:w="5000" w:type="pct"/>
        <w:tblCellMar>
          <w:left w:w="0" w:type="dxa"/>
          <w:right w:w="0" w:type="dxa"/>
        </w:tblCellMar>
        <w:tblLook w:val="04A0" w:firstRow="1" w:lastRow="0" w:firstColumn="1" w:lastColumn="0" w:noHBand="0" w:noVBand="1"/>
      </w:tblPr>
      <w:tblGrid>
        <w:gridCol w:w="1944"/>
        <w:gridCol w:w="216"/>
        <w:gridCol w:w="6048"/>
        <w:gridCol w:w="216"/>
        <w:gridCol w:w="2376"/>
      </w:tblGrid>
      <w:tr w:rsidR="00BD0853" w:rsidRPr="00BD0853" w:rsidTr="00BD0853">
        <w:tc>
          <w:tcPr>
            <w:tcW w:w="900" w:type="pct"/>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100" w:type="pct"/>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2800" w:type="pct"/>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100" w:type="pct"/>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1100" w:type="pct"/>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Signature</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Titles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Date</w:t>
            </w:r>
          </w:p>
        </w:tc>
      </w:tr>
      <w:tr w:rsidR="00BD0853" w:rsidRPr="00BD0853" w:rsidTr="00BD0853">
        <w:tc>
          <w:tcPr>
            <w:tcW w:w="0" w:type="auto"/>
            <w:gridSpan w:val="3"/>
            <w:vAlign w:val="bottom"/>
            <w:hideMark/>
          </w:tcPr>
          <w:p w:rsidR="00BD0853" w:rsidRPr="00BD0853" w:rsidRDefault="00BD0853" w:rsidP="00BD0853">
            <w:pPr>
              <w:spacing w:after="0" w:line="276" w:lineRule="auto"/>
              <w:rPr>
                <w:rFonts w:ascii="Calibri" w:eastAsia="Times New Roman" w:hAnsi="Calibri" w:cs="Times New Roman"/>
                <w:u w:val="single"/>
              </w:rPr>
            </w:pPr>
            <w:r w:rsidRPr="00BD0853">
              <w:rPr>
                <w:rFonts w:ascii="Times New Roman" w:eastAsia="Times New Roman" w:hAnsi="Times New Roman" w:cs="Times New Roman"/>
                <w:i/>
                <w:iCs/>
                <w:sz w:val="20"/>
                <w:szCs w:val="20"/>
                <w:u w:val="single"/>
              </w:rPr>
              <w:t>/s/</w:t>
            </w:r>
            <w:r w:rsidRPr="00BD0853">
              <w:rPr>
                <w:rFonts w:ascii="Times New Roman" w:eastAsia="Times New Roman" w:hAnsi="Times New Roman" w:cs="Times New Roman"/>
                <w:sz w:val="20"/>
                <w:szCs w:val="20"/>
                <w:u w:val="single"/>
              </w:rPr>
              <w:t> Jonathan Adams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Jonathan Adams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Chief Executive Officer, Chief Financial Officer, Principal Executive Officer, Principal Accounting Officer</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hideMark/>
          </w:tcPr>
          <w:p w:rsidR="00BD0853" w:rsidRPr="00BD0853" w:rsidRDefault="00BD0853" w:rsidP="00BD0853">
            <w:pPr>
              <w:spacing w:after="0" w:line="276" w:lineRule="auto"/>
              <w:rPr>
                <w:rFonts w:ascii="Calibri" w:eastAsia="Times New Roman" w:hAnsi="Calibri" w:cs="Times New Roman"/>
              </w:rPr>
            </w:pPr>
            <w:r w:rsidRPr="00BD0853">
              <w:rPr>
                <w:rFonts w:ascii="Times New Roman" w:eastAsia="Times New Roman" w:hAnsi="Times New Roman" w:cs="Times New Roman"/>
                <w:sz w:val="20"/>
                <w:szCs w:val="20"/>
              </w:rPr>
              <w:t>May 8, 2017</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gridSpan w:val="3"/>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rPr>
            </w:pPr>
            <w:r w:rsidRPr="00BD0853">
              <w:rPr>
                <w:rFonts w:ascii="Calibri" w:eastAsia="Times New Roman" w:hAnsi="Calibri" w:cs="Times New Roman"/>
              </w:rPr>
              <w:t> </w:t>
            </w:r>
          </w:p>
        </w:tc>
      </w:tr>
    </w:tbl>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p w:rsidR="00BD0853" w:rsidRDefault="00BD0853" w:rsidP="00BD0853">
      <w:pPr>
        <w:spacing w:after="0" w:line="240" w:lineRule="auto"/>
        <w:rPr>
          <w:rFonts w:ascii="Times New Roman" w:eastAsia="Times New Roman" w:hAnsi="Times New Roman" w:cs="Times New Roman"/>
          <w:sz w:val="16"/>
          <w:szCs w:val="16"/>
        </w:rPr>
      </w:pPr>
      <w:r w:rsidRPr="00BD0853">
        <w:rPr>
          <w:rFonts w:ascii="Times New Roman" w:eastAsia="Times New Roman" w:hAnsi="Times New Roman" w:cs="Times New Roman"/>
          <w:sz w:val="16"/>
          <w:szCs w:val="16"/>
        </w:rPr>
        <w:t> </w:t>
      </w:r>
    </w:p>
    <w:p w:rsidR="00BD0853" w:rsidRDefault="00BD0853">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rsidR="00BD0853" w:rsidRPr="00BD0853" w:rsidRDefault="00BD0853" w:rsidP="00BD0853">
      <w:pPr>
        <w:spacing w:after="0" w:line="240" w:lineRule="auto"/>
        <w:rPr>
          <w:rFonts w:ascii="Times New Roman" w:eastAsia="Times New Roman" w:hAnsi="Times New Roman" w:cs="Times New Roman"/>
          <w:sz w:val="16"/>
          <w:szCs w:val="16"/>
        </w:rPr>
      </w:pPr>
    </w:p>
    <w:p w:rsidR="00BD0853" w:rsidRPr="00BD0853" w:rsidRDefault="00BD0853" w:rsidP="00BD0853">
      <w:pPr>
        <w:spacing w:after="0" w:line="240" w:lineRule="auto"/>
        <w:jc w:val="right"/>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Exhibit 31.1</w:t>
      </w:r>
    </w:p>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CERTIFICATION PURSUANT TO SECTION 302 OF THE SARBANES OXLEY ACT OF 2002</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AND RULE 13-A14 OF THE EXCHANGE ACT OF 1934</w:t>
      </w:r>
    </w:p>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u w:val="single"/>
        </w:rPr>
        <w:t>CERTIFICATION</w:t>
      </w:r>
    </w:p>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150"/>
        <w:gridCol w:w="167"/>
        <w:gridCol w:w="10483"/>
      </w:tblGrid>
      <w:tr w:rsidR="00BD0853" w:rsidRPr="00BD0853" w:rsidTr="00BD0853">
        <w:tc>
          <w:tcPr>
            <w:tcW w:w="0" w:type="auto"/>
            <w:gridSpan w:val="3"/>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I, Jonathan Adams, certify that:</w:t>
            </w:r>
          </w:p>
        </w:tc>
      </w:tr>
      <w:tr w:rsidR="00BD0853" w:rsidRPr="00BD0853" w:rsidTr="00BD0853">
        <w:tc>
          <w:tcPr>
            <w:tcW w:w="50" w:type="pct"/>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50" w:type="pct"/>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4900" w:type="pct"/>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1.</w:t>
            </w:r>
          </w:p>
        </w:tc>
        <w:tc>
          <w:tcPr>
            <w:tcW w:w="0" w:type="auto"/>
            <w:gridSpan w:val="2"/>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 xml:space="preserve">I have reviewed this quarterly report on Form 10-Q of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Inc.;</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2.</w:t>
            </w:r>
          </w:p>
        </w:tc>
        <w:tc>
          <w:tcPr>
            <w:tcW w:w="0" w:type="auto"/>
            <w:gridSpan w:val="2"/>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 xml:space="preserve">Based on my knowledge, this report does not contain any untrue statement of a material fact or omit to state a material fact necessary to make the statements made, </w:t>
            </w:r>
            <w:proofErr w:type="gramStart"/>
            <w:r w:rsidRPr="00BD0853">
              <w:rPr>
                <w:rFonts w:ascii="Times New Roman" w:eastAsia="Times New Roman" w:hAnsi="Times New Roman" w:cs="Times New Roman"/>
                <w:sz w:val="20"/>
                <w:szCs w:val="20"/>
              </w:rPr>
              <w:t>in light of</w:t>
            </w:r>
            <w:proofErr w:type="gramEnd"/>
            <w:r w:rsidRPr="00BD0853">
              <w:rPr>
                <w:rFonts w:ascii="Times New Roman" w:eastAsia="Times New Roman" w:hAnsi="Times New Roman" w:cs="Times New Roman"/>
                <w:sz w:val="20"/>
                <w:szCs w:val="20"/>
              </w:rPr>
              <w:t xml:space="preserve"> the circumstances under which such statements were made, not misleading with respect to the period covered by this report;</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3.</w:t>
            </w:r>
          </w:p>
        </w:tc>
        <w:tc>
          <w:tcPr>
            <w:tcW w:w="0" w:type="auto"/>
            <w:gridSpan w:val="2"/>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 xml:space="preserve">Based on my knowledge, the financial statements, and other financial information included in this report, </w:t>
            </w:r>
            <w:proofErr w:type="gramStart"/>
            <w:r w:rsidRPr="00BD0853">
              <w:rPr>
                <w:rFonts w:ascii="Times New Roman" w:eastAsia="Times New Roman" w:hAnsi="Times New Roman" w:cs="Times New Roman"/>
                <w:sz w:val="20"/>
                <w:szCs w:val="20"/>
              </w:rPr>
              <w:t>fairly present</w:t>
            </w:r>
            <w:proofErr w:type="gramEnd"/>
            <w:r w:rsidRPr="00BD0853">
              <w:rPr>
                <w:rFonts w:ascii="Times New Roman" w:eastAsia="Times New Roman" w:hAnsi="Times New Roman" w:cs="Times New Roman"/>
                <w:sz w:val="20"/>
                <w:szCs w:val="20"/>
              </w:rPr>
              <w:t xml:space="preserve"> in all material respects the financial condition, results of operations and cash flows of the registrant as of, and for, the periods presented in this report;</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4.</w:t>
            </w:r>
          </w:p>
        </w:tc>
        <w:tc>
          <w:tcPr>
            <w:tcW w:w="0" w:type="auto"/>
            <w:gridSpan w:val="2"/>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The registrant’s other certifying officer(s) and I are responsible for establishing and maintaining disclosure controls and procedures (as defined in Exchange Act Rules 13a-15(e) and 15d-15(e)) and internal control over financial reporting (as defined in Exchange Act Rules 13a – 15(f) and 15d – 15(f)) for the registrant and have:</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gridSpan w:val="2"/>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a)</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Designed such disclosure controls and procedures, or caused such disclosure controls and procedures to be designed under our supervision, to ensure that material information relating to the registrant, including its consolidated subsidiaries, is made known to us by others within those entities, particularly during the period in which this report is being prepared;</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b)</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Designed such internal control over financial reporting, or caused such internal control over financial reporting to be designed under our supervision, to provide reasonable assurance regarding the reliability of financial reporting and the preparation of financial statements for external purposes in accordance with generally accepted accounting principles;</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c)</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Evaluated the effectiveness of the registrant’s disclosure controls and procedures and presented in this report our conclusions about the effectiveness of the disclosure controls and procedures, as of the end of the period covered by this report based on such evaluation; and</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d)</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Disclosed in this report any change in the registrant’s internal control over financial reporting that occurred during the registrant’s most recent fiscal quarter (the registrant’s fourth fiscal quarter in the case of the annual report) that has materially affected, or is reasonably likely to materially affect, the registrant’s internal control over financial reporting; and</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5.</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The registrant’s other certifying officer(s) and I have disclosed, based on our most recent evaluation of internal control over financial reporting, to the registrant’s auditors and the audit committee of the registrant’s board of directors (or persons performing the equivalent functions):</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a)</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All significant deficiencies and material weaknesses in the design or operation of internal control over financial reporting which are reasonably likely to adversely affect the registrant’s ability to record, process, summarize and report financial information; and</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b)</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 xml:space="preserve">Any fraud, </w:t>
            </w:r>
            <w:proofErr w:type="gramStart"/>
            <w:r w:rsidRPr="00BD0853">
              <w:rPr>
                <w:rFonts w:ascii="Times New Roman" w:eastAsia="Times New Roman" w:hAnsi="Times New Roman" w:cs="Times New Roman"/>
                <w:sz w:val="20"/>
                <w:szCs w:val="20"/>
              </w:rPr>
              <w:t>whether or not</w:t>
            </w:r>
            <w:proofErr w:type="gramEnd"/>
            <w:r w:rsidRPr="00BD0853">
              <w:rPr>
                <w:rFonts w:ascii="Times New Roman" w:eastAsia="Times New Roman" w:hAnsi="Times New Roman" w:cs="Times New Roman"/>
                <w:sz w:val="20"/>
                <w:szCs w:val="20"/>
              </w:rPr>
              <w:t xml:space="preserve"> material, that involves management or other employees who have a significant role in the registrant’s internal control over financial reporting.</w:t>
            </w:r>
          </w:p>
        </w:tc>
      </w:tr>
    </w:tbl>
    <w:p w:rsidR="00BD0853" w:rsidRPr="00BD0853" w:rsidRDefault="00BD0853" w:rsidP="00BD0853">
      <w:pPr>
        <w:spacing w:after="0" w:line="240" w:lineRule="auto"/>
        <w:ind w:firstLine="720"/>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1944"/>
        <w:gridCol w:w="108"/>
        <w:gridCol w:w="4968"/>
        <w:gridCol w:w="108"/>
        <w:gridCol w:w="108"/>
        <w:gridCol w:w="3456"/>
        <w:gridCol w:w="108"/>
      </w:tblGrid>
      <w:tr w:rsidR="00BD0853" w:rsidRPr="00BD0853" w:rsidTr="00BD0853">
        <w:tc>
          <w:tcPr>
            <w:tcW w:w="90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Signature</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230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Titles</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1600" w:type="pct"/>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Date</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u w:val="single"/>
              </w:rPr>
            </w:pPr>
            <w:r w:rsidRPr="00BD0853">
              <w:rPr>
                <w:rFonts w:ascii="Times New Roman" w:eastAsia="Times New Roman" w:hAnsi="Times New Roman" w:cs="Times New Roman"/>
                <w:i/>
                <w:iCs/>
                <w:sz w:val="20"/>
                <w:szCs w:val="20"/>
                <w:u w:val="single"/>
              </w:rPr>
              <w:t>/s/ Jonathan Adams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lastRenderedPageBreak/>
              <w:t>Jonathan Adams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March 8, 2017</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bl>
    <w:p w:rsidR="00BD0853" w:rsidRPr="00BD0853" w:rsidRDefault="00BD0853" w:rsidP="00BD0853">
      <w:pPr>
        <w:spacing w:after="0" w:line="240" w:lineRule="auto"/>
        <w:ind w:firstLine="720"/>
        <w:jc w:val="center"/>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p w:rsidR="00BD0853" w:rsidRDefault="00BD0853">
      <w:pP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rsidR="00BD0853" w:rsidRPr="00BD0853" w:rsidRDefault="00BD0853" w:rsidP="00BD0853">
      <w:pPr>
        <w:spacing w:after="0" w:line="240" w:lineRule="auto"/>
        <w:jc w:val="right"/>
        <w:rPr>
          <w:rFonts w:ascii="Times New Roman" w:eastAsia="Times New Roman" w:hAnsi="Times New Roman" w:cs="Times New Roman"/>
          <w:sz w:val="20"/>
          <w:szCs w:val="20"/>
        </w:rPr>
      </w:pPr>
      <w:bookmarkStart w:id="16" w:name="_GoBack"/>
      <w:bookmarkEnd w:id="16"/>
      <w:r w:rsidRPr="00BD0853">
        <w:rPr>
          <w:rFonts w:ascii="Times New Roman" w:eastAsia="Times New Roman" w:hAnsi="Times New Roman" w:cs="Times New Roman"/>
          <w:b/>
          <w:bCs/>
          <w:sz w:val="20"/>
          <w:szCs w:val="20"/>
        </w:rPr>
        <w:lastRenderedPageBreak/>
        <w:t>Exhibit 32.1</w:t>
      </w:r>
    </w:p>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jc w:val="center"/>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CERTIFICATION OF THE CHIEF EXECUTIVE OFFICER PURSUANT TO 18 U.S. C. SECTION 1350 AS ADOPTED PURSUANT TO</w:t>
      </w:r>
    </w:p>
    <w:p w:rsidR="00BD0853" w:rsidRPr="00BD0853" w:rsidRDefault="00BD0853" w:rsidP="00BD0853">
      <w:pPr>
        <w:spacing w:after="0" w:line="240" w:lineRule="auto"/>
        <w:jc w:val="center"/>
        <w:rPr>
          <w:rFonts w:ascii="Times New Roman" w:eastAsia="Times New Roman" w:hAnsi="Times New Roman" w:cs="Times New Roman"/>
          <w:sz w:val="20"/>
          <w:szCs w:val="20"/>
        </w:rPr>
      </w:pPr>
      <w:r w:rsidRPr="00BD0853">
        <w:rPr>
          <w:rFonts w:ascii="Times New Roman" w:eastAsia="Times New Roman" w:hAnsi="Times New Roman" w:cs="Times New Roman"/>
          <w:b/>
          <w:bCs/>
          <w:sz w:val="20"/>
          <w:szCs w:val="20"/>
        </w:rPr>
        <w:t>SECTION 906 OF THE SARBANES-OXLEY ACT OF 2002</w:t>
      </w:r>
    </w:p>
    <w:p w:rsidR="00BD0853" w:rsidRPr="00BD0853" w:rsidRDefault="00BD0853" w:rsidP="00BD0853">
      <w:pPr>
        <w:spacing w:after="0" w:line="240" w:lineRule="auto"/>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jc w:val="both"/>
        <w:rPr>
          <w:rFonts w:ascii="Times New Roman" w:eastAsia="Times New Roman" w:hAnsi="Times New Roman" w:cs="Times New Roman"/>
          <w:sz w:val="20"/>
          <w:szCs w:val="20"/>
        </w:rPr>
      </w:pPr>
      <w:r w:rsidRPr="00BD0853">
        <w:rPr>
          <w:rFonts w:ascii="Times New Roman" w:eastAsia="Times New Roman" w:hAnsi="Times New Roman" w:cs="Times New Roman"/>
          <w:sz w:val="20"/>
          <w:szCs w:val="20"/>
        </w:rPr>
        <w:t xml:space="preserve">In connection with the Quarterly Report of </w:t>
      </w:r>
      <w:proofErr w:type="spellStart"/>
      <w:r w:rsidRPr="00BD0853">
        <w:rPr>
          <w:rFonts w:ascii="Times New Roman" w:eastAsia="Times New Roman" w:hAnsi="Times New Roman" w:cs="Times New Roman"/>
          <w:sz w:val="20"/>
          <w:szCs w:val="20"/>
        </w:rPr>
        <w:t>Biovie</w:t>
      </w:r>
      <w:proofErr w:type="spellEnd"/>
      <w:r w:rsidRPr="00BD0853">
        <w:rPr>
          <w:rFonts w:ascii="Times New Roman" w:eastAsia="Times New Roman" w:hAnsi="Times New Roman" w:cs="Times New Roman"/>
          <w:sz w:val="20"/>
          <w:szCs w:val="20"/>
        </w:rPr>
        <w:t>, Inc., (the “Company”) on Form 10-Q for the period ended March 31, 2017, as filed with the Securities and Exchange Commission on the date hereof (the “Report”), I, Jonathan Adams, Chief Executive Officer, Chief Financial Officer, Principal Executive Officer and Principal Financial and Accounting Officer, Corporate Secretary, Treasurer and Chairman of the Board of the Company, certify, pursuant to 18 U.S.C. Section 1350, as adopted pursuant to Section 906 of the Sarbanes Oxley Act of 2002, that, to my knowledge:</w:t>
      </w:r>
    </w:p>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234"/>
        <w:gridCol w:w="10566"/>
      </w:tblGrid>
      <w:tr w:rsidR="00BD0853" w:rsidRPr="00BD0853" w:rsidTr="00BD0853">
        <w:tc>
          <w:tcPr>
            <w:tcW w:w="100" w:type="pct"/>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(1)</w:t>
            </w:r>
          </w:p>
        </w:tc>
        <w:tc>
          <w:tcPr>
            <w:tcW w:w="4900" w:type="pct"/>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The Report fully complies with the requirements of Section 13 (a) or 15 (d) of the Securities Exchange Act of 1934; and</w:t>
            </w:r>
          </w:p>
        </w:tc>
      </w:tr>
      <w:tr w:rsidR="00BD0853" w:rsidRPr="00BD0853" w:rsidTr="00BD0853">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shd w:val="clear" w:color="auto" w:fill="FFFFFF"/>
            <w:vAlign w:val="center"/>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(2)</w:t>
            </w:r>
          </w:p>
        </w:tc>
        <w:tc>
          <w:tcPr>
            <w:tcW w:w="0" w:type="auto"/>
            <w:shd w:val="clear" w:color="auto" w:fill="FFFFFF"/>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The information contained in the Report fairly presents, in all material respects, the financial condition and results of operations of the Company.</w:t>
            </w:r>
          </w:p>
        </w:tc>
      </w:tr>
    </w:tbl>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tbl>
      <w:tblPr>
        <w:tblW w:w="5000" w:type="pct"/>
        <w:tblCellMar>
          <w:left w:w="0" w:type="dxa"/>
          <w:right w:w="0" w:type="dxa"/>
        </w:tblCellMar>
        <w:tblLook w:val="04A0" w:firstRow="1" w:lastRow="0" w:firstColumn="1" w:lastColumn="0" w:noHBand="0" w:noVBand="1"/>
      </w:tblPr>
      <w:tblGrid>
        <w:gridCol w:w="1944"/>
        <w:gridCol w:w="108"/>
        <w:gridCol w:w="4968"/>
        <w:gridCol w:w="108"/>
        <w:gridCol w:w="108"/>
        <w:gridCol w:w="3456"/>
        <w:gridCol w:w="108"/>
      </w:tblGrid>
      <w:tr w:rsidR="00BD0853" w:rsidRPr="00BD0853" w:rsidTr="00BD0853">
        <w:tc>
          <w:tcPr>
            <w:tcW w:w="90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Signature</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230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Titles</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1600" w:type="pct"/>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Date</w:t>
            </w:r>
          </w:p>
        </w:tc>
        <w:tc>
          <w:tcPr>
            <w:tcW w:w="50" w:type="pct"/>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u w:val="single"/>
              </w:rPr>
            </w:pPr>
            <w:r w:rsidRPr="00BD0853">
              <w:rPr>
                <w:rFonts w:ascii="Times New Roman" w:eastAsia="Times New Roman" w:hAnsi="Times New Roman" w:cs="Times New Roman"/>
                <w:i/>
                <w:iCs/>
                <w:sz w:val="20"/>
                <w:szCs w:val="20"/>
                <w:u w:val="single"/>
              </w:rPr>
              <w:t>/s/ Jonathan Adams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40"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Jonathan Adams</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Chief Executive Officer, Chief Financial Officer, Principal Executive Officer and Principal Financial and Accounting Officer, Treasurer and Chairman of the Board</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Times New Roman" w:eastAsia="Times New Roman" w:hAnsi="Times New Roman" w:cs="Times New Roman"/>
                <w:sz w:val="20"/>
                <w:szCs w:val="20"/>
              </w:rPr>
              <w:t>March 8, 2017</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r w:rsidR="00BD0853" w:rsidRPr="00BD0853" w:rsidTr="00BD0853">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jc w:val="right"/>
              <w:rPr>
                <w:rFonts w:ascii="Calibri" w:eastAsia="Times New Roman" w:hAnsi="Calibri" w:cs="Times New Roman"/>
                <w:sz w:val="20"/>
                <w:szCs w:val="20"/>
              </w:rPr>
            </w:pPr>
            <w:r w:rsidRPr="00BD0853">
              <w:rPr>
                <w:rFonts w:ascii="Calibri" w:eastAsia="Times New Roman" w:hAnsi="Calibri" w:cs="Times New Roman"/>
                <w:sz w:val="20"/>
                <w:szCs w:val="20"/>
              </w:rPr>
              <w:t> </w:t>
            </w:r>
          </w:p>
        </w:tc>
        <w:tc>
          <w:tcPr>
            <w:tcW w:w="0" w:type="auto"/>
            <w:vAlign w:val="bottom"/>
            <w:hideMark/>
          </w:tcPr>
          <w:p w:rsidR="00BD0853" w:rsidRPr="00BD0853" w:rsidRDefault="00BD0853" w:rsidP="00BD0853">
            <w:pPr>
              <w:spacing w:after="0" w:line="276" w:lineRule="auto"/>
              <w:rPr>
                <w:rFonts w:ascii="Calibri" w:eastAsia="Times New Roman" w:hAnsi="Calibri" w:cs="Times New Roman"/>
                <w:sz w:val="20"/>
                <w:szCs w:val="20"/>
              </w:rPr>
            </w:pPr>
            <w:r w:rsidRPr="00BD0853">
              <w:rPr>
                <w:rFonts w:ascii="Calibri" w:eastAsia="Times New Roman" w:hAnsi="Calibri" w:cs="Times New Roman"/>
                <w:sz w:val="20"/>
                <w:szCs w:val="20"/>
              </w:rPr>
              <w:t> </w:t>
            </w:r>
          </w:p>
        </w:tc>
      </w:tr>
    </w:tbl>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p w:rsidR="00BD0853" w:rsidRPr="00BD0853" w:rsidRDefault="00BD0853" w:rsidP="00BD0853">
      <w:pPr>
        <w:spacing w:after="0" w:line="240" w:lineRule="auto"/>
        <w:ind w:firstLine="720"/>
        <w:rPr>
          <w:rFonts w:ascii="Arial" w:eastAsia="Times New Roman" w:hAnsi="Arial" w:cs="Arial"/>
          <w:sz w:val="20"/>
          <w:szCs w:val="20"/>
        </w:rPr>
      </w:pPr>
      <w:r w:rsidRPr="00BD0853">
        <w:rPr>
          <w:rFonts w:ascii="Arial" w:eastAsia="Times New Roman" w:hAnsi="Arial" w:cs="Arial"/>
          <w:sz w:val="20"/>
          <w:szCs w:val="20"/>
        </w:rPr>
        <w:t> </w:t>
      </w:r>
    </w:p>
    <w:p w:rsidR="009D1109" w:rsidRDefault="009D1109"/>
    <w:sectPr w:rsidR="009D1109" w:rsidSect="00BD08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Times">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C54AC"/>
    <w:multiLevelType w:val="multilevel"/>
    <w:tmpl w:val="1C5C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853"/>
    <w:rsid w:val="009D1109"/>
    <w:rsid w:val="00BD0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63419-DEAE-4533-8870-775B19889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D08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8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0853"/>
    <w:rPr>
      <w:color w:val="0000FF"/>
      <w:u w:val="single"/>
    </w:rPr>
  </w:style>
  <w:style w:type="character" w:styleId="FollowedHyperlink">
    <w:name w:val="FollowedHyperlink"/>
    <w:basedOn w:val="DefaultParagraphFont"/>
    <w:uiPriority w:val="99"/>
    <w:semiHidden/>
    <w:unhideWhenUsed/>
    <w:rsid w:val="00BD085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786800">
      <w:bodyDiv w:val="1"/>
      <w:marLeft w:val="0"/>
      <w:marRight w:val="0"/>
      <w:marTop w:val="0"/>
      <w:marBottom w:val="0"/>
      <w:divBdr>
        <w:top w:val="none" w:sz="0" w:space="0" w:color="auto"/>
        <w:left w:val="none" w:sz="0" w:space="0" w:color="auto"/>
        <w:bottom w:val="none" w:sz="0" w:space="0" w:color="auto"/>
        <w:right w:val="none" w:sz="0" w:space="0" w:color="auto"/>
      </w:divBdr>
      <w:divsChild>
        <w:div w:id="1934391340">
          <w:marLeft w:val="0"/>
          <w:marRight w:val="0"/>
          <w:marTop w:val="0"/>
          <w:marBottom w:val="0"/>
          <w:divBdr>
            <w:top w:val="none" w:sz="0" w:space="0" w:color="auto"/>
            <w:left w:val="none" w:sz="0" w:space="0" w:color="auto"/>
            <w:bottom w:val="none" w:sz="0" w:space="0" w:color="auto"/>
            <w:right w:val="none" w:sz="0" w:space="0" w:color="auto"/>
          </w:divBdr>
          <w:divsChild>
            <w:div w:id="1332248454">
              <w:marLeft w:val="0"/>
              <w:marRight w:val="0"/>
              <w:marTop w:val="0"/>
              <w:marBottom w:val="0"/>
              <w:divBdr>
                <w:top w:val="none" w:sz="0" w:space="0" w:color="auto"/>
                <w:left w:val="none" w:sz="0" w:space="0" w:color="auto"/>
                <w:bottom w:val="none" w:sz="0" w:space="0" w:color="auto"/>
                <w:right w:val="none" w:sz="0" w:space="0" w:color="auto"/>
              </w:divBdr>
            </w:div>
          </w:divsChild>
        </w:div>
        <w:div w:id="1643579768">
          <w:marLeft w:val="0"/>
          <w:marRight w:val="0"/>
          <w:marTop w:val="0"/>
          <w:marBottom w:val="0"/>
          <w:divBdr>
            <w:top w:val="none" w:sz="0" w:space="0" w:color="auto"/>
            <w:left w:val="none" w:sz="0" w:space="0" w:color="auto"/>
            <w:bottom w:val="none" w:sz="0" w:space="0" w:color="auto"/>
            <w:right w:val="none" w:sz="0" w:space="0" w:color="auto"/>
          </w:divBdr>
        </w:div>
        <w:div w:id="161560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bivi-20170331_10qex32z1.htm" TargetMode="External"/><Relationship Id="rId5" Type="http://schemas.openxmlformats.org/officeDocument/2006/relationships/hyperlink" Target="bivi-20170331_10qex31z1.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28</Pages>
  <Words>10259</Words>
  <Characters>58482</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dc:creator>
  <cp:keywords/>
  <dc:description/>
  <cp:lastModifiedBy>Frank</cp:lastModifiedBy>
  <cp:revision>1</cp:revision>
  <dcterms:created xsi:type="dcterms:W3CDTF">2017-05-24T16:40:00Z</dcterms:created>
  <dcterms:modified xsi:type="dcterms:W3CDTF">2017-05-24T16:44:00Z</dcterms:modified>
</cp:coreProperties>
</file>