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5A2AA2" w:rsidRPr="005A2AA2" w:rsidTr="005A2AA2">
        <w:tc>
          <w:tcPr>
            <w:tcW w:w="5000" w:type="pct"/>
            <w:tcBorders>
              <w:bottom w:val="single" w:sz="24" w:space="0" w:color="000000"/>
            </w:tcBorders>
            <w:hideMark/>
          </w:tcPr>
          <w:p w:rsidR="005A2AA2" w:rsidRPr="005A2AA2" w:rsidRDefault="005A2AA2" w:rsidP="005A2AA2">
            <w:pPr>
              <w:spacing w:after="0" w:line="256" w:lineRule="auto"/>
              <w:jc w:val="center"/>
              <w:rPr>
                <w:rFonts w:ascii="Times New Roman" w:eastAsia="Times New Roman" w:hAnsi="Times New Roman" w:cs="Times New Roman"/>
                <w:sz w:val="8"/>
                <w:szCs w:val="8"/>
              </w:rPr>
            </w:pPr>
            <w:r w:rsidRPr="005A2AA2">
              <w:rPr>
                <w:rFonts w:ascii="Times New Roman" w:eastAsia="Times New Roman" w:hAnsi="Times New Roman" w:cs="Times New Roman"/>
                <w:sz w:val="8"/>
                <w:szCs w:val="8"/>
              </w:rPr>
              <w:t> </w:t>
            </w:r>
          </w:p>
        </w:tc>
      </w:tr>
      <w:tr w:rsidR="005A2AA2" w:rsidRPr="005A2AA2" w:rsidTr="005A2AA2">
        <w:tc>
          <w:tcPr>
            <w:tcW w:w="0" w:type="auto"/>
            <w:tcBorders>
              <w:bottom w:val="single" w:sz="8" w:space="0" w:color="000000"/>
            </w:tcBorders>
            <w:hideMark/>
          </w:tcPr>
          <w:p w:rsidR="005A2AA2" w:rsidRPr="005A2AA2" w:rsidRDefault="005A2AA2" w:rsidP="005A2AA2">
            <w:pPr>
              <w:spacing w:after="0" w:line="256" w:lineRule="auto"/>
              <w:jc w:val="center"/>
              <w:rPr>
                <w:rFonts w:ascii="Times New Roman" w:eastAsia="Times New Roman" w:hAnsi="Times New Roman" w:cs="Times New Roman"/>
                <w:sz w:val="8"/>
                <w:szCs w:val="8"/>
              </w:rPr>
            </w:pPr>
            <w:r w:rsidRPr="005A2AA2">
              <w:rPr>
                <w:rFonts w:ascii="Times New Roman" w:eastAsia="Times New Roman" w:hAnsi="Times New Roman" w:cs="Times New Roman"/>
                <w:sz w:val="8"/>
                <w:szCs w:val="8"/>
              </w:rPr>
              <w:t> </w:t>
            </w:r>
          </w:p>
        </w:tc>
      </w:tr>
    </w:tbl>
    <w:p w:rsidR="005A2AA2" w:rsidRPr="005A2AA2" w:rsidRDefault="005A2AA2" w:rsidP="005A2AA2">
      <w:pPr>
        <w:spacing w:after="0" w:line="240" w:lineRule="auto"/>
        <w:ind w:firstLine="720"/>
        <w:jc w:val="center"/>
        <w:rPr>
          <w:rFonts w:ascii="Times New Roman" w:eastAsia="Times New Roman" w:hAnsi="Times New Roman" w:cs="Times New Roman"/>
          <w:sz w:val="14"/>
          <w:szCs w:val="14"/>
        </w:rPr>
      </w:pPr>
      <w:r w:rsidRPr="005A2AA2">
        <w:rPr>
          <w:rFonts w:ascii="Times New Roman" w:eastAsia="Times New Roman" w:hAnsi="Times New Roman" w:cs="Times New Roman"/>
          <w:b/>
          <w:bCs/>
          <w:sz w:val="14"/>
          <w:szCs w:val="14"/>
        </w:rPr>
        <w:t> </w:t>
      </w:r>
    </w:p>
    <w:p w:rsidR="005A2AA2" w:rsidRPr="005A2AA2" w:rsidRDefault="005A2AA2" w:rsidP="005A2AA2">
      <w:pPr>
        <w:spacing w:after="0" w:line="240" w:lineRule="auto"/>
        <w:jc w:val="center"/>
        <w:rPr>
          <w:rFonts w:ascii="Times New Roman" w:eastAsia="Times New Roman" w:hAnsi="Times New Roman" w:cs="Times New Roman"/>
          <w:sz w:val="32"/>
          <w:szCs w:val="32"/>
        </w:rPr>
      </w:pPr>
      <w:r w:rsidRPr="005A2AA2">
        <w:rPr>
          <w:rFonts w:ascii="Times New Roman" w:eastAsia="Times New Roman" w:hAnsi="Times New Roman" w:cs="Times New Roman"/>
          <w:b/>
          <w:bCs/>
          <w:sz w:val="32"/>
          <w:szCs w:val="32"/>
        </w:rPr>
        <w:t>UNITED STATES</w:t>
      </w:r>
    </w:p>
    <w:p w:rsidR="005A2AA2" w:rsidRPr="005A2AA2" w:rsidRDefault="005A2AA2" w:rsidP="005A2AA2">
      <w:pPr>
        <w:spacing w:after="0" w:line="240" w:lineRule="auto"/>
        <w:jc w:val="center"/>
        <w:rPr>
          <w:rFonts w:ascii="Times New Roman" w:eastAsia="Times New Roman" w:hAnsi="Times New Roman" w:cs="Times New Roman"/>
          <w:sz w:val="32"/>
          <w:szCs w:val="32"/>
        </w:rPr>
      </w:pPr>
      <w:r w:rsidRPr="005A2AA2">
        <w:rPr>
          <w:rFonts w:ascii="Times New Roman" w:eastAsia="Times New Roman" w:hAnsi="Times New Roman" w:cs="Times New Roman"/>
          <w:b/>
          <w:bCs/>
          <w:sz w:val="32"/>
          <w:szCs w:val="32"/>
        </w:rPr>
        <w:t>SECURITIES AND EXCHANGE COMMISSION</w:t>
      </w:r>
    </w:p>
    <w:p w:rsidR="005A2AA2" w:rsidRPr="005A2AA2" w:rsidRDefault="005A2AA2" w:rsidP="005A2AA2">
      <w:pPr>
        <w:spacing w:after="0" w:line="240" w:lineRule="auto"/>
        <w:jc w:val="center"/>
        <w:rPr>
          <w:rFonts w:ascii="Times New Roman" w:eastAsia="Times New Roman" w:hAnsi="Times New Roman" w:cs="Times New Roman"/>
        </w:rPr>
      </w:pPr>
      <w:r w:rsidRPr="005A2AA2">
        <w:rPr>
          <w:rFonts w:ascii="Times New Roman" w:eastAsia="Times New Roman" w:hAnsi="Times New Roman" w:cs="Times New Roman"/>
          <w:b/>
          <w:bCs/>
        </w:rPr>
        <w:t>Washington, D.C.  20549</w:t>
      </w:r>
    </w:p>
    <w:p w:rsidR="005A2AA2" w:rsidRPr="005A2AA2" w:rsidRDefault="005A2AA2" w:rsidP="005A2AA2">
      <w:pPr>
        <w:spacing w:after="0" w:line="240" w:lineRule="auto"/>
        <w:ind w:firstLine="720"/>
        <w:jc w:val="center"/>
        <w:rPr>
          <w:rFonts w:ascii="Times New Roman" w:eastAsia="Times New Roman" w:hAnsi="Times New Roman" w:cs="Times New Roman"/>
          <w:sz w:val="14"/>
          <w:szCs w:val="14"/>
        </w:rPr>
      </w:pPr>
      <w:r w:rsidRPr="005A2AA2">
        <w:rPr>
          <w:rFonts w:ascii="Times New Roman" w:eastAsia="Times New Roman" w:hAnsi="Times New Roman" w:cs="Times New Roman"/>
          <w:sz w:val="14"/>
          <w:szCs w:val="14"/>
        </w:rPr>
        <w:t> </w:t>
      </w:r>
    </w:p>
    <w:p w:rsidR="005A2AA2" w:rsidRPr="005A2AA2" w:rsidRDefault="005A2AA2" w:rsidP="005A2AA2">
      <w:pPr>
        <w:spacing w:after="0" w:line="240" w:lineRule="auto"/>
        <w:jc w:val="center"/>
        <w:rPr>
          <w:rFonts w:ascii="Times New Roman" w:eastAsia="Times New Roman" w:hAnsi="Times New Roman" w:cs="Times New Roman"/>
          <w:sz w:val="32"/>
          <w:szCs w:val="32"/>
        </w:rPr>
      </w:pPr>
      <w:r w:rsidRPr="005A2AA2">
        <w:rPr>
          <w:rFonts w:ascii="Times New Roman" w:eastAsia="Times New Roman" w:hAnsi="Times New Roman" w:cs="Times New Roman"/>
          <w:b/>
          <w:bCs/>
          <w:sz w:val="32"/>
          <w:szCs w:val="32"/>
        </w:rPr>
        <w:t>Form 10-Q</w:t>
      </w:r>
    </w:p>
    <w:p w:rsidR="005A2AA2" w:rsidRPr="005A2AA2" w:rsidRDefault="005A2AA2" w:rsidP="005A2AA2">
      <w:pPr>
        <w:spacing w:after="0" w:line="240" w:lineRule="auto"/>
        <w:ind w:firstLine="720"/>
        <w:jc w:val="center"/>
        <w:rPr>
          <w:rFonts w:ascii="Times New Roman" w:eastAsia="Times New Roman" w:hAnsi="Times New Roman" w:cs="Times New Roman"/>
          <w:sz w:val="14"/>
          <w:szCs w:val="14"/>
        </w:rPr>
      </w:pPr>
      <w:r w:rsidRPr="005A2AA2">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5A2AA2" w:rsidRPr="005A2AA2" w:rsidTr="005A2AA2">
        <w:tc>
          <w:tcPr>
            <w:tcW w:w="300" w:type="dxa"/>
            <w:tcMar>
              <w:top w:w="0" w:type="dxa"/>
              <w:left w:w="0" w:type="dxa"/>
              <w:bottom w:w="120" w:type="dxa"/>
              <w:right w:w="0" w:type="dxa"/>
            </w:tcMar>
            <w:hideMark/>
          </w:tcPr>
          <w:p w:rsidR="005A2AA2" w:rsidRPr="005A2AA2" w:rsidRDefault="005A2AA2" w:rsidP="005A2AA2">
            <w:pPr>
              <w:spacing w:after="0" w:line="256" w:lineRule="auto"/>
              <w:jc w:val="right"/>
              <w:rPr>
                <w:rFonts w:ascii="Times New Roman" w:eastAsia="Times New Roman" w:hAnsi="Times New Roman" w:cs="Times New Roman"/>
              </w:rPr>
            </w:pPr>
            <w:r w:rsidRPr="005A2AA2">
              <w:rPr>
                <w:rFonts w:ascii="MS Mincho" w:eastAsia="MS Mincho" w:hAnsi="MS Mincho" w:cs="Times New Roman" w:hint="eastAsia"/>
              </w:rPr>
              <w:t>☒</w:t>
            </w:r>
          </w:p>
        </w:tc>
        <w:tc>
          <w:tcPr>
            <w:tcW w:w="105" w:type="dxa"/>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tcMar>
              <w:top w:w="0" w:type="dxa"/>
              <w:left w:w="0" w:type="dxa"/>
              <w:bottom w:w="120" w:type="dxa"/>
              <w:right w:w="0" w:type="dxa"/>
            </w:tcMar>
            <w:hideMark/>
          </w:tcPr>
          <w:p w:rsidR="005A2AA2" w:rsidRPr="005A2AA2" w:rsidRDefault="005A2AA2" w:rsidP="005A2AA2">
            <w:pPr>
              <w:spacing w:after="0" w:line="256"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QUARTERLY REPORT PURSUANT TO SECTION 13 OR 15(d) OF THE SECURITIES EXCHANGE ACT OF 1934</w:t>
            </w:r>
          </w:p>
        </w:tc>
      </w:tr>
    </w:tbl>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For the quarterly period ended March 31, 2016</w:t>
      </w:r>
    </w:p>
    <w:p w:rsidR="005A2AA2" w:rsidRPr="005A2AA2" w:rsidRDefault="005A2AA2" w:rsidP="005A2AA2">
      <w:pPr>
        <w:spacing w:after="0" w:line="240" w:lineRule="auto"/>
        <w:ind w:firstLine="720"/>
        <w:jc w:val="center"/>
        <w:rPr>
          <w:rFonts w:ascii="Times New Roman" w:eastAsia="Times New Roman" w:hAnsi="Times New Roman" w:cs="Times New Roman"/>
          <w:sz w:val="14"/>
          <w:szCs w:val="14"/>
        </w:rPr>
      </w:pPr>
      <w:r w:rsidRPr="005A2AA2">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5A2AA2" w:rsidRPr="005A2AA2" w:rsidTr="005A2AA2">
        <w:tc>
          <w:tcPr>
            <w:tcW w:w="300" w:type="dxa"/>
            <w:tcMar>
              <w:top w:w="0" w:type="dxa"/>
              <w:left w:w="0" w:type="dxa"/>
              <w:bottom w:w="120" w:type="dxa"/>
              <w:right w:w="0" w:type="dxa"/>
            </w:tcMar>
            <w:hideMark/>
          </w:tcPr>
          <w:p w:rsidR="005A2AA2" w:rsidRPr="005A2AA2" w:rsidRDefault="005A2AA2" w:rsidP="005A2AA2">
            <w:pPr>
              <w:spacing w:after="0" w:line="256" w:lineRule="auto"/>
              <w:jc w:val="right"/>
              <w:rPr>
                <w:rFonts w:ascii="Times New Roman" w:eastAsia="Times New Roman" w:hAnsi="Times New Roman" w:cs="Times New Roman"/>
              </w:rPr>
            </w:pPr>
            <w:r w:rsidRPr="005A2AA2">
              <w:rPr>
                <w:rFonts w:ascii="MS Mincho" w:eastAsia="MS Mincho" w:hAnsi="MS Mincho" w:cs="Times New Roman" w:hint="eastAsia"/>
              </w:rPr>
              <w:t>☐</w:t>
            </w:r>
          </w:p>
        </w:tc>
        <w:tc>
          <w:tcPr>
            <w:tcW w:w="105" w:type="dxa"/>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tcMar>
              <w:top w:w="0" w:type="dxa"/>
              <w:left w:w="0" w:type="dxa"/>
              <w:bottom w:w="120" w:type="dxa"/>
              <w:right w:w="0" w:type="dxa"/>
            </w:tcMar>
            <w:hideMark/>
          </w:tcPr>
          <w:p w:rsidR="005A2AA2" w:rsidRPr="005A2AA2" w:rsidRDefault="005A2AA2" w:rsidP="005A2AA2">
            <w:pPr>
              <w:spacing w:after="0" w:line="256"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TRANSITION REPORT PURSUANT TO SECTION 13 OR 15(d) OF THE SECURITIES EXCHANGE ACT OF 1934</w:t>
            </w:r>
          </w:p>
        </w:tc>
      </w:tr>
    </w:tbl>
    <w:p w:rsidR="005A2AA2" w:rsidRPr="005A2AA2" w:rsidRDefault="005A2AA2" w:rsidP="005A2AA2">
      <w:pPr>
        <w:spacing w:after="0" w:line="240" w:lineRule="auto"/>
        <w:jc w:val="center"/>
        <w:rPr>
          <w:rFonts w:ascii="Times New Roman" w:eastAsia="Times New Roman" w:hAnsi="Times New Roman" w:cs="Times New Roman"/>
          <w:sz w:val="36"/>
          <w:szCs w:val="36"/>
        </w:rPr>
      </w:pPr>
      <w:r w:rsidRPr="005A2AA2">
        <w:rPr>
          <w:rFonts w:ascii="Times New Roman" w:eastAsia="Times New Roman" w:hAnsi="Times New Roman" w:cs="Times New Roman"/>
          <w:b/>
          <w:bCs/>
          <w:sz w:val="36"/>
          <w:szCs w:val="36"/>
          <w:u w:val="single"/>
        </w:rPr>
        <w:t>NANOANTIBIOTICS, INC.</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(Exact name of registrant as specified in its charter)</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Commission File Number: </w:t>
      </w:r>
      <w:r w:rsidRPr="005A2AA2">
        <w:rPr>
          <w:rFonts w:ascii="Times New Roman" w:eastAsia="Times New Roman" w:hAnsi="Times New Roman" w:cs="Times New Roman"/>
          <w:b/>
          <w:bCs/>
          <w:sz w:val="20"/>
          <w:szCs w:val="20"/>
          <w:u w:val="single"/>
        </w:rPr>
        <w:t>333-190635</w:t>
      </w:r>
    </w:p>
    <w:p w:rsidR="005A2AA2" w:rsidRPr="005A2AA2" w:rsidRDefault="005A2AA2" w:rsidP="005A2AA2">
      <w:pPr>
        <w:spacing w:after="0" w:line="240" w:lineRule="auto"/>
        <w:ind w:firstLine="720"/>
        <w:jc w:val="center"/>
        <w:rPr>
          <w:rFonts w:ascii="Times New Roman" w:eastAsia="Times New Roman" w:hAnsi="Times New Roman" w:cs="Times New Roman"/>
          <w:sz w:val="14"/>
          <w:szCs w:val="14"/>
        </w:rPr>
      </w:pPr>
      <w:r w:rsidRPr="005A2AA2">
        <w:rPr>
          <w:rFonts w:ascii="Times New Roman" w:eastAsia="Times New Roman" w:hAnsi="Times New Roman" w:cs="Times New Roman"/>
          <w:sz w:val="14"/>
          <w:szCs w:val="14"/>
        </w:rPr>
        <w:t> </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5A2AA2" w:rsidRPr="005A2AA2" w:rsidTr="005A2AA2">
        <w:trPr>
          <w:jc w:val="center"/>
        </w:trPr>
        <w:tc>
          <w:tcPr>
            <w:tcW w:w="2250" w:type="pct"/>
            <w:tcBorders>
              <w:bottom w:val="single" w:sz="8" w:space="0" w:color="000000"/>
            </w:tcBorders>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Nevada</w:t>
            </w:r>
          </w:p>
        </w:tc>
        <w:tc>
          <w:tcPr>
            <w:tcW w:w="500" w:type="pct"/>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2250" w:type="pct"/>
            <w:tcBorders>
              <w:bottom w:val="single" w:sz="8" w:space="0" w:color="000000"/>
            </w:tcBorders>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46-2510769</w:t>
            </w:r>
          </w:p>
        </w:tc>
      </w:tr>
      <w:tr w:rsidR="005A2AA2" w:rsidRPr="005A2AA2" w:rsidTr="005A2AA2">
        <w:trPr>
          <w:jc w:val="center"/>
        </w:trPr>
        <w:tc>
          <w:tcPr>
            <w:tcW w:w="0" w:type="auto"/>
            <w:hideMark/>
          </w:tcPr>
          <w:p w:rsidR="005A2AA2" w:rsidRPr="005A2AA2" w:rsidRDefault="005A2AA2" w:rsidP="005A2AA2">
            <w:pPr>
              <w:spacing w:after="0" w:line="256" w:lineRule="auto"/>
              <w:jc w:val="center"/>
              <w:rPr>
                <w:rFonts w:ascii="Times New Roman" w:eastAsia="Times New Roman" w:hAnsi="Times New Roman" w:cs="Times New Roman"/>
                <w:sz w:val="18"/>
                <w:szCs w:val="18"/>
              </w:rPr>
            </w:pPr>
            <w:r w:rsidRPr="005A2AA2">
              <w:rPr>
                <w:rFonts w:ascii="Times New Roman" w:eastAsia="Times New Roman" w:hAnsi="Times New Roman" w:cs="Times New Roman"/>
                <w:i/>
                <w:iCs/>
                <w:sz w:val="18"/>
                <w:szCs w:val="18"/>
              </w:rPr>
              <w:t>(State or other jurisdiction of incorporation or organization)</w:t>
            </w:r>
          </w:p>
        </w:tc>
        <w:tc>
          <w:tcPr>
            <w:tcW w:w="0" w:type="auto"/>
            <w:hideMark/>
          </w:tcPr>
          <w:p w:rsidR="005A2AA2" w:rsidRPr="005A2AA2" w:rsidRDefault="005A2AA2" w:rsidP="005A2AA2">
            <w:pPr>
              <w:spacing w:after="0" w:line="256" w:lineRule="auto"/>
              <w:jc w:val="center"/>
              <w:rPr>
                <w:rFonts w:ascii="Times New Roman" w:eastAsia="Times New Roman" w:hAnsi="Times New Roman" w:cs="Times New Roman"/>
                <w:sz w:val="18"/>
                <w:szCs w:val="18"/>
              </w:rPr>
            </w:pPr>
            <w:r w:rsidRPr="005A2AA2">
              <w:rPr>
                <w:rFonts w:ascii="Times New Roman" w:eastAsia="Times New Roman" w:hAnsi="Times New Roman" w:cs="Times New Roman"/>
                <w:sz w:val="18"/>
                <w:szCs w:val="18"/>
              </w:rPr>
              <w:t> </w:t>
            </w:r>
          </w:p>
        </w:tc>
        <w:tc>
          <w:tcPr>
            <w:tcW w:w="0" w:type="auto"/>
            <w:hideMark/>
          </w:tcPr>
          <w:p w:rsidR="005A2AA2" w:rsidRPr="005A2AA2" w:rsidRDefault="005A2AA2" w:rsidP="005A2AA2">
            <w:pPr>
              <w:spacing w:after="0" w:line="256" w:lineRule="auto"/>
              <w:jc w:val="center"/>
              <w:rPr>
                <w:rFonts w:ascii="Times New Roman" w:eastAsia="Times New Roman" w:hAnsi="Times New Roman" w:cs="Times New Roman"/>
                <w:sz w:val="18"/>
                <w:szCs w:val="18"/>
              </w:rPr>
            </w:pPr>
            <w:r w:rsidRPr="005A2AA2">
              <w:rPr>
                <w:rFonts w:ascii="Times New Roman" w:eastAsia="Times New Roman" w:hAnsi="Times New Roman" w:cs="Times New Roman"/>
                <w:i/>
                <w:iCs/>
                <w:sz w:val="18"/>
                <w:szCs w:val="18"/>
              </w:rPr>
              <w:t>(I.R.S. Employer Identification No.)</w:t>
            </w:r>
          </w:p>
        </w:tc>
      </w:tr>
    </w:tbl>
    <w:p w:rsidR="005A2AA2" w:rsidRPr="005A2AA2" w:rsidRDefault="005A2AA2" w:rsidP="005A2AA2">
      <w:pPr>
        <w:spacing w:after="0" w:line="240" w:lineRule="auto"/>
        <w:ind w:firstLine="720"/>
        <w:jc w:val="both"/>
        <w:rPr>
          <w:rFonts w:ascii="Times New Roman" w:eastAsia="Times New Roman" w:hAnsi="Times New Roman" w:cs="Times New Roman"/>
        </w:rPr>
      </w:pPr>
      <w:r w:rsidRPr="005A2AA2">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5A2AA2" w:rsidRPr="005A2AA2" w:rsidTr="005A2AA2">
        <w:trPr>
          <w:jc w:val="center"/>
        </w:trPr>
        <w:tc>
          <w:tcPr>
            <w:tcW w:w="5000" w:type="pct"/>
            <w:vAlign w:val="center"/>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100 Cummings Center, Suite 247-C</w:t>
            </w:r>
          </w:p>
        </w:tc>
      </w:tr>
      <w:tr w:rsidR="005A2AA2" w:rsidRPr="005A2AA2" w:rsidTr="005A2AA2">
        <w:trPr>
          <w:jc w:val="center"/>
        </w:trPr>
        <w:tc>
          <w:tcPr>
            <w:tcW w:w="0" w:type="auto"/>
            <w:tcBorders>
              <w:bottom w:val="single" w:sz="8" w:space="0" w:color="000000"/>
            </w:tcBorders>
            <w:vAlign w:val="center"/>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Beverly, MA 01915</w:t>
            </w:r>
          </w:p>
        </w:tc>
      </w:tr>
      <w:tr w:rsidR="005A2AA2" w:rsidRPr="005A2AA2" w:rsidTr="005A2AA2">
        <w:trPr>
          <w:jc w:val="center"/>
        </w:trPr>
        <w:tc>
          <w:tcPr>
            <w:tcW w:w="0" w:type="auto"/>
            <w:vAlign w:val="center"/>
            <w:hideMark/>
          </w:tcPr>
          <w:p w:rsidR="005A2AA2" w:rsidRPr="005A2AA2" w:rsidRDefault="005A2AA2" w:rsidP="005A2AA2">
            <w:pPr>
              <w:spacing w:after="0" w:line="256" w:lineRule="auto"/>
              <w:jc w:val="center"/>
              <w:rPr>
                <w:rFonts w:ascii="Times New Roman" w:eastAsia="Times New Roman" w:hAnsi="Times New Roman" w:cs="Times New Roman"/>
                <w:sz w:val="18"/>
                <w:szCs w:val="18"/>
              </w:rPr>
            </w:pPr>
            <w:r w:rsidRPr="005A2AA2">
              <w:rPr>
                <w:rFonts w:ascii="Times New Roman" w:eastAsia="Times New Roman" w:hAnsi="Times New Roman" w:cs="Times New Roman"/>
                <w:i/>
                <w:iCs/>
                <w:sz w:val="18"/>
                <w:szCs w:val="18"/>
              </w:rPr>
              <w:t>(Address of principal executive offices, Zip Code)</w:t>
            </w:r>
          </w:p>
        </w:tc>
      </w:tr>
      <w:tr w:rsidR="005A2AA2" w:rsidRPr="005A2AA2" w:rsidTr="005A2AA2">
        <w:trPr>
          <w:jc w:val="center"/>
        </w:trPr>
        <w:tc>
          <w:tcPr>
            <w:tcW w:w="0" w:type="auto"/>
            <w:vAlign w:val="center"/>
            <w:hideMark/>
          </w:tcPr>
          <w:p w:rsidR="005A2AA2" w:rsidRPr="005A2AA2" w:rsidRDefault="005A2AA2" w:rsidP="005A2AA2">
            <w:pPr>
              <w:spacing w:after="0" w:line="256" w:lineRule="auto"/>
              <w:jc w:val="center"/>
              <w:rPr>
                <w:rFonts w:ascii="Times New Roman" w:eastAsia="Times New Roman" w:hAnsi="Times New Roman" w:cs="Times New Roman"/>
              </w:rPr>
            </w:pPr>
            <w:r w:rsidRPr="005A2AA2">
              <w:rPr>
                <w:rFonts w:ascii="Times New Roman" w:eastAsia="Times New Roman" w:hAnsi="Times New Roman" w:cs="Times New Roman"/>
              </w:rPr>
              <w:t> </w:t>
            </w:r>
          </w:p>
        </w:tc>
      </w:tr>
      <w:tr w:rsidR="005A2AA2" w:rsidRPr="005A2AA2" w:rsidTr="005A2AA2">
        <w:trPr>
          <w:jc w:val="center"/>
        </w:trPr>
        <w:tc>
          <w:tcPr>
            <w:tcW w:w="0" w:type="auto"/>
            <w:tcBorders>
              <w:bottom w:val="single" w:sz="8" w:space="0" w:color="000000"/>
            </w:tcBorders>
            <w:vAlign w:val="center"/>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(305) 515-4118</w:t>
            </w:r>
          </w:p>
        </w:tc>
      </w:tr>
      <w:tr w:rsidR="005A2AA2" w:rsidRPr="005A2AA2" w:rsidTr="005A2AA2">
        <w:trPr>
          <w:jc w:val="center"/>
        </w:trPr>
        <w:tc>
          <w:tcPr>
            <w:tcW w:w="0" w:type="auto"/>
            <w:vAlign w:val="center"/>
            <w:hideMark/>
          </w:tcPr>
          <w:p w:rsidR="005A2AA2" w:rsidRPr="005A2AA2" w:rsidRDefault="005A2AA2" w:rsidP="005A2AA2">
            <w:pPr>
              <w:spacing w:after="0" w:line="256" w:lineRule="auto"/>
              <w:jc w:val="center"/>
              <w:rPr>
                <w:rFonts w:ascii="Times New Roman" w:eastAsia="Times New Roman" w:hAnsi="Times New Roman" w:cs="Times New Roman"/>
                <w:sz w:val="18"/>
                <w:szCs w:val="18"/>
              </w:rPr>
            </w:pPr>
            <w:r w:rsidRPr="005A2AA2">
              <w:rPr>
                <w:rFonts w:ascii="Times New Roman" w:eastAsia="Times New Roman" w:hAnsi="Times New Roman" w:cs="Times New Roman"/>
                <w:i/>
                <w:iCs/>
                <w:sz w:val="18"/>
                <w:szCs w:val="18"/>
              </w:rPr>
              <w:t>(Registrant's telephone number, including area code)</w:t>
            </w:r>
          </w:p>
        </w:tc>
      </w:tr>
      <w:tr w:rsidR="005A2AA2" w:rsidRPr="005A2AA2" w:rsidTr="005A2AA2">
        <w:trPr>
          <w:jc w:val="center"/>
        </w:trPr>
        <w:tc>
          <w:tcPr>
            <w:tcW w:w="0" w:type="auto"/>
            <w:vAlign w:val="center"/>
            <w:hideMark/>
          </w:tcPr>
          <w:p w:rsidR="005A2AA2" w:rsidRPr="005A2AA2" w:rsidRDefault="005A2AA2" w:rsidP="005A2AA2">
            <w:pPr>
              <w:spacing w:after="0" w:line="256" w:lineRule="auto"/>
              <w:jc w:val="center"/>
              <w:rPr>
                <w:rFonts w:ascii="Times New Roman" w:eastAsia="Times New Roman" w:hAnsi="Times New Roman" w:cs="Times New Roman"/>
              </w:rPr>
            </w:pPr>
            <w:r w:rsidRPr="005A2AA2">
              <w:rPr>
                <w:rFonts w:ascii="Times New Roman" w:eastAsia="Times New Roman" w:hAnsi="Times New Roman" w:cs="Times New Roman"/>
              </w:rPr>
              <w:t> </w:t>
            </w:r>
          </w:p>
        </w:tc>
      </w:tr>
      <w:tr w:rsidR="005A2AA2" w:rsidRPr="005A2AA2" w:rsidTr="005A2AA2">
        <w:trPr>
          <w:jc w:val="center"/>
        </w:trPr>
        <w:tc>
          <w:tcPr>
            <w:tcW w:w="0" w:type="auto"/>
            <w:tcBorders>
              <w:bottom w:val="single" w:sz="8" w:space="0" w:color="000000"/>
            </w:tcBorders>
            <w:vAlign w:val="center"/>
            <w:hideMark/>
          </w:tcPr>
          <w:p w:rsidR="005A2AA2" w:rsidRPr="005A2AA2" w:rsidRDefault="005A2AA2" w:rsidP="005A2AA2">
            <w:pPr>
              <w:spacing w:after="0" w:line="256" w:lineRule="auto"/>
              <w:jc w:val="center"/>
              <w:rPr>
                <w:rFonts w:ascii="Times New Roman" w:eastAsia="Times New Roman" w:hAnsi="Times New Roman" w:cs="Times New Roman"/>
              </w:rPr>
            </w:pPr>
            <w:r w:rsidRPr="005A2AA2">
              <w:rPr>
                <w:rFonts w:ascii="Times New Roman" w:eastAsia="Times New Roman" w:hAnsi="Times New Roman" w:cs="Times New Roman"/>
              </w:rPr>
              <w:t> </w:t>
            </w:r>
          </w:p>
        </w:tc>
      </w:tr>
      <w:tr w:rsidR="005A2AA2" w:rsidRPr="005A2AA2" w:rsidTr="005A2AA2">
        <w:trPr>
          <w:jc w:val="center"/>
        </w:trPr>
        <w:tc>
          <w:tcPr>
            <w:tcW w:w="0" w:type="auto"/>
            <w:vAlign w:val="center"/>
            <w:hideMark/>
          </w:tcPr>
          <w:p w:rsidR="005A2AA2" w:rsidRPr="005A2AA2" w:rsidRDefault="005A2AA2" w:rsidP="005A2AA2">
            <w:pPr>
              <w:spacing w:after="0" w:line="256" w:lineRule="auto"/>
              <w:jc w:val="center"/>
              <w:rPr>
                <w:rFonts w:ascii="Times New Roman" w:eastAsia="Times New Roman" w:hAnsi="Times New Roman" w:cs="Times New Roman"/>
              </w:rPr>
            </w:pPr>
            <w:r w:rsidRPr="005A2AA2">
              <w:rPr>
                <w:rFonts w:ascii="Times New Roman" w:eastAsia="Times New Roman" w:hAnsi="Times New Roman" w:cs="Times New Roman"/>
                <w:i/>
                <w:iCs/>
                <w:sz w:val="18"/>
                <w:szCs w:val="18"/>
              </w:rPr>
              <w:t>(Former Name, Former Address and Former Fiscal Year if Changed Since Last Report)</w:t>
            </w:r>
          </w:p>
        </w:tc>
      </w:tr>
    </w:tbl>
    <w:p w:rsidR="005A2AA2" w:rsidRPr="005A2AA2" w:rsidRDefault="005A2AA2" w:rsidP="005A2AA2">
      <w:pPr>
        <w:spacing w:after="0" w:line="240" w:lineRule="auto"/>
        <w:ind w:firstLine="720"/>
        <w:jc w:val="both"/>
        <w:rPr>
          <w:rFonts w:ascii="Times New Roman" w:eastAsia="Times New Roman" w:hAnsi="Times New Roman" w:cs="Times New Roman"/>
          <w:sz w:val="14"/>
          <w:szCs w:val="14"/>
        </w:rPr>
      </w:pPr>
      <w:r w:rsidRPr="005A2AA2">
        <w:rPr>
          <w:rFonts w:ascii="Times New Roman" w:eastAsia="Times New Roman" w:hAnsi="Times New Roman" w:cs="Times New Roman"/>
          <w:sz w:val="14"/>
          <w:szCs w:val="14"/>
        </w:rPr>
        <w:t> </w:t>
      </w:r>
      <w:r w:rsidRPr="005A2AA2">
        <w:rPr>
          <w:rFonts w:ascii="Times New Roman" w:eastAsia="Times New Roman" w:hAnsi="Times New Roman" w:cs="Times New Roman"/>
          <w:b/>
          <w:bCs/>
          <w:sz w:val="14"/>
          <w:szCs w:val="14"/>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5A2AA2" w:rsidRPr="005A2AA2" w:rsidRDefault="005A2AA2" w:rsidP="005A2AA2">
      <w:pPr>
        <w:spacing w:after="0" w:line="240" w:lineRule="auto"/>
        <w:ind w:firstLine="720"/>
        <w:rPr>
          <w:rFonts w:ascii="Times New Roman" w:eastAsia="Times New Roman" w:hAnsi="Times New Roman" w:cs="Times New Roman"/>
          <w:sz w:val="10"/>
          <w:szCs w:val="10"/>
        </w:rPr>
      </w:pPr>
      <w:r w:rsidRPr="005A2AA2">
        <w:rPr>
          <w:rFonts w:ascii="Times New Roman" w:eastAsia="Times New Roman" w:hAnsi="Times New Roman" w:cs="Times New Roman"/>
          <w:sz w:val="10"/>
          <w:szCs w:val="1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Yes </w:t>
      </w:r>
      <w:r w:rsidRPr="005A2AA2">
        <w:rPr>
          <w:rFonts w:ascii="MS Mincho" w:eastAsia="MS Mincho" w:hAnsi="MS Mincho" w:cs="Times New Roman" w:hint="eastAsia"/>
          <w:sz w:val="20"/>
          <w:szCs w:val="20"/>
        </w:rPr>
        <w:t>☒</w:t>
      </w:r>
      <w:r w:rsidRPr="005A2AA2">
        <w:rPr>
          <w:rFonts w:ascii="Times New Roman" w:eastAsia="Times New Roman" w:hAnsi="Times New Roman" w:cs="Times New Roman"/>
          <w:sz w:val="20"/>
          <w:szCs w:val="20"/>
        </w:rPr>
        <w:t xml:space="preserve">                                          No </w:t>
      </w:r>
      <w:r w:rsidRPr="005A2AA2">
        <w:rPr>
          <w:rFonts w:ascii="MS Mincho" w:eastAsia="MS Mincho" w:hAnsi="MS Mincho" w:cs="Times New Roman" w:hint="eastAsia"/>
          <w:sz w:val="20"/>
          <w:szCs w:val="20"/>
        </w:rPr>
        <w:t>☐</w:t>
      </w:r>
    </w:p>
    <w:p w:rsidR="005A2AA2" w:rsidRPr="005A2AA2" w:rsidRDefault="005A2AA2" w:rsidP="005A2AA2">
      <w:pPr>
        <w:spacing w:after="0" w:line="240" w:lineRule="auto"/>
        <w:ind w:firstLine="720"/>
        <w:rPr>
          <w:rFonts w:ascii="Times New Roman" w:eastAsia="Times New Roman" w:hAnsi="Times New Roman" w:cs="Times New Roman"/>
          <w:sz w:val="10"/>
          <w:szCs w:val="10"/>
        </w:rPr>
      </w:pPr>
      <w:r w:rsidRPr="005A2AA2">
        <w:rPr>
          <w:rFonts w:ascii="Times New Roman" w:eastAsia="Times New Roman" w:hAnsi="Times New Roman" w:cs="Times New Roman"/>
          <w:sz w:val="10"/>
          <w:szCs w:val="1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5A2AA2" w:rsidRPr="005A2AA2" w:rsidRDefault="005A2AA2" w:rsidP="005A2AA2">
      <w:pPr>
        <w:spacing w:after="0" w:line="240" w:lineRule="auto"/>
        <w:ind w:firstLine="720"/>
        <w:rPr>
          <w:rFonts w:ascii="Times New Roman" w:eastAsia="Times New Roman" w:hAnsi="Times New Roman" w:cs="Times New Roman"/>
          <w:sz w:val="10"/>
          <w:szCs w:val="10"/>
        </w:rPr>
      </w:pPr>
      <w:r w:rsidRPr="005A2AA2">
        <w:rPr>
          <w:rFonts w:ascii="Times New Roman" w:eastAsia="Times New Roman" w:hAnsi="Times New Roman" w:cs="Times New Roman"/>
          <w:sz w:val="10"/>
          <w:szCs w:val="1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Yes </w:t>
      </w:r>
      <w:r w:rsidRPr="005A2AA2">
        <w:rPr>
          <w:rFonts w:ascii="MS Mincho" w:eastAsia="MS Mincho" w:hAnsi="MS Mincho" w:cs="Times New Roman" w:hint="eastAsia"/>
          <w:sz w:val="20"/>
          <w:szCs w:val="20"/>
        </w:rPr>
        <w:t>☒</w:t>
      </w:r>
      <w:r w:rsidRPr="005A2AA2">
        <w:rPr>
          <w:rFonts w:ascii="Times New Roman" w:eastAsia="Times New Roman" w:hAnsi="Times New Roman" w:cs="Times New Roman"/>
          <w:sz w:val="20"/>
          <w:szCs w:val="20"/>
        </w:rPr>
        <w:t xml:space="preserve">                                          No </w:t>
      </w:r>
      <w:r w:rsidRPr="005A2AA2">
        <w:rPr>
          <w:rFonts w:ascii="MS Mincho" w:eastAsia="MS Mincho" w:hAnsi="MS Mincho" w:cs="Times New Roman" w:hint="eastAsia"/>
          <w:sz w:val="20"/>
          <w:szCs w:val="20"/>
        </w:rPr>
        <w:t>☐</w:t>
      </w:r>
    </w:p>
    <w:p w:rsidR="005A2AA2" w:rsidRPr="005A2AA2" w:rsidRDefault="005A2AA2" w:rsidP="005A2AA2">
      <w:pPr>
        <w:spacing w:after="0" w:line="240" w:lineRule="auto"/>
        <w:ind w:firstLine="720"/>
        <w:jc w:val="both"/>
        <w:rPr>
          <w:rFonts w:ascii="Times New Roman" w:eastAsia="Times New Roman" w:hAnsi="Times New Roman" w:cs="Times New Roman"/>
          <w:sz w:val="10"/>
          <w:szCs w:val="10"/>
        </w:rPr>
      </w:pPr>
      <w:r w:rsidRPr="005A2AA2">
        <w:rPr>
          <w:rFonts w:ascii="Times New Roman" w:eastAsia="Times New Roman" w:hAnsi="Times New Roman" w:cs="Times New Roman"/>
          <w:sz w:val="10"/>
          <w:szCs w:val="1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definitions of “large accelerated filer,” “accelerated filer” and “smaller reporting company” in Ruble 12b-2 of the Exchange Act.</w:t>
      </w:r>
    </w:p>
    <w:p w:rsidR="005A2AA2" w:rsidRPr="005A2AA2" w:rsidRDefault="005A2AA2" w:rsidP="005A2AA2">
      <w:pPr>
        <w:spacing w:after="0" w:line="240" w:lineRule="auto"/>
        <w:ind w:firstLine="720"/>
        <w:jc w:val="both"/>
        <w:rPr>
          <w:rFonts w:ascii="Times New Roman" w:eastAsia="Times New Roman" w:hAnsi="Times New Roman" w:cs="Times New Roman"/>
          <w:sz w:val="10"/>
          <w:szCs w:val="10"/>
        </w:rPr>
      </w:pPr>
      <w:r w:rsidRPr="005A2AA2">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680"/>
        <w:gridCol w:w="468"/>
        <w:gridCol w:w="2621"/>
        <w:gridCol w:w="1591"/>
      </w:tblGrid>
      <w:tr w:rsidR="005A2AA2" w:rsidRPr="005A2AA2" w:rsidTr="005A2AA2">
        <w:tc>
          <w:tcPr>
            <w:tcW w:w="2500" w:type="pct"/>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Large accelerated filer</w:t>
            </w:r>
          </w:p>
        </w:tc>
        <w:tc>
          <w:tcPr>
            <w:tcW w:w="250" w:type="pct"/>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r w:rsidRPr="005A2AA2">
              <w:rPr>
                <w:rFonts w:ascii="MS Mincho" w:eastAsia="MS Mincho" w:hAnsi="MS Mincho" w:cs="Times New Roman" w:hint="eastAsia"/>
                <w:sz w:val="20"/>
                <w:szCs w:val="20"/>
              </w:rPr>
              <w:t>☐</w:t>
            </w:r>
          </w:p>
        </w:tc>
        <w:tc>
          <w:tcPr>
            <w:tcW w:w="1400" w:type="pct"/>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Accelerated filer</w:t>
            </w:r>
          </w:p>
        </w:tc>
        <w:tc>
          <w:tcPr>
            <w:tcW w:w="850" w:type="pct"/>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r w:rsidRPr="005A2AA2">
              <w:rPr>
                <w:rFonts w:ascii="MS Mincho" w:eastAsia="MS Mincho" w:hAnsi="MS Mincho" w:cs="Times New Roman" w:hint="eastAsia"/>
                <w:sz w:val="20"/>
                <w:szCs w:val="20"/>
              </w:rPr>
              <w:t>☐</w:t>
            </w:r>
          </w:p>
        </w:tc>
      </w:tr>
      <w:tr w:rsidR="005A2AA2" w:rsidRPr="005A2AA2" w:rsidTr="005A2AA2">
        <w:tc>
          <w:tcPr>
            <w:tcW w:w="0" w:type="auto"/>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Non-accelerated filer</w:t>
            </w:r>
          </w:p>
          <w:p w:rsidR="005A2AA2" w:rsidRPr="005A2AA2" w:rsidRDefault="005A2AA2" w:rsidP="005A2AA2">
            <w:pPr>
              <w:spacing w:after="0" w:line="240" w:lineRule="auto"/>
              <w:rPr>
                <w:rFonts w:ascii="Times New Roman" w:eastAsia="Times New Roman" w:hAnsi="Times New Roman" w:cs="Times New Roman"/>
                <w:sz w:val="16"/>
                <w:szCs w:val="16"/>
              </w:rPr>
            </w:pPr>
            <w:r w:rsidRPr="005A2AA2">
              <w:rPr>
                <w:rFonts w:ascii="Times New Roman" w:eastAsia="Times New Roman" w:hAnsi="Times New Roman" w:cs="Times New Roman"/>
                <w:sz w:val="16"/>
                <w:szCs w:val="16"/>
              </w:rPr>
              <w:t>(Do not check if a smaller reporting company)</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r w:rsidRPr="005A2AA2">
              <w:rPr>
                <w:rFonts w:ascii="MS Mincho" w:eastAsia="MS Mincho" w:hAnsi="MS Mincho" w:cs="Times New Roman" w:hint="eastAsia"/>
                <w:sz w:val="20"/>
                <w:szCs w:val="20"/>
              </w:rPr>
              <w:t>☐</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Smaller reporting company</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r w:rsidRPr="005A2AA2">
              <w:rPr>
                <w:rFonts w:ascii="MS Mincho" w:eastAsia="MS Mincho" w:hAnsi="MS Mincho" w:cs="Times New Roman" w:hint="eastAsia"/>
                <w:sz w:val="20"/>
                <w:szCs w:val="20"/>
              </w:rPr>
              <w:t>☒</w:t>
            </w:r>
          </w:p>
        </w:tc>
      </w:tr>
    </w:tbl>
    <w:p w:rsidR="005A2AA2" w:rsidRPr="005A2AA2" w:rsidRDefault="005A2AA2" w:rsidP="005A2AA2">
      <w:pPr>
        <w:spacing w:after="0" w:line="240" w:lineRule="auto"/>
        <w:ind w:firstLine="720"/>
        <w:rPr>
          <w:rFonts w:ascii="Times New Roman" w:eastAsia="Times New Roman" w:hAnsi="Times New Roman" w:cs="Times New Roman"/>
          <w:sz w:val="10"/>
          <w:szCs w:val="10"/>
        </w:rPr>
      </w:pPr>
      <w:r w:rsidRPr="005A2AA2">
        <w:rPr>
          <w:rFonts w:ascii="Times New Roman" w:eastAsia="Times New Roman" w:hAnsi="Times New Roman" w:cs="Times New Roman"/>
          <w:sz w:val="10"/>
          <w:szCs w:val="1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Indicate by check mark whether the registrant is a shell company (as defined in Rule 12b-2 of the Exchange Act).</w:t>
      </w:r>
    </w:p>
    <w:p w:rsidR="005A2AA2" w:rsidRPr="005A2AA2" w:rsidRDefault="005A2AA2" w:rsidP="005A2AA2">
      <w:pPr>
        <w:spacing w:after="0" w:line="240" w:lineRule="auto"/>
        <w:ind w:firstLine="720"/>
        <w:rPr>
          <w:rFonts w:ascii="Times New Roman" w:eastAsia="Times New Roman" w:hAnsi="Times New Roman" w:cs="Times New Roman"/>
          <w:sz w:val="10"/>
          <w:szCs w:val="10"/>
        </w:rPr>
      </w:pPr>
      <w:r w:rsidRPr="005A2AA2">
        <w:rPr>
          <w:rFonts w:ascii="Times New Roman" w:eastAsia="Times New Roman" w:hAnsi="Times New Roman" w:cs="Times New Roman"/>
          <w:sz w:val="10"/>
          <w:szCs w:val="1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lastRenderedPageBreak/>
        <w:t xml:space="preserve">Yes </w:t>
      </w:r>
      <w:r w:rsidRPr="005A2AA2">
        <w:rPr>
          <w:rFonts w:ascii="MS Mincho" w:eastAsia="MS Mincho" w:hAnsi="MS Mincho" w:cs="Times New Roman" w:hint="eastAsia"/>
          <w:sz w:val="20"/>
          <w:szCs w:val="20"/>
        </w:rPr>
        <w:t>☐</w:t>
      </w:r>
      <w:r w:rsidRPr="005A2AA2">
        <w:rPr>
          <w:rFonts w:ascii="Times New Roman" w:eastAsia="Times New Roman" w:hAnsi="Times New Roman" w:cs="Times New Roman"/>
          <w:sz w:val="20"/>
          <w:szCs w:val="20"/>
        </w:rPr>
        <w:t xml:space="preserve">                                          No </w:t>
      </w:r>
      <w:r w:rsidRPr="005A2AA2">
        <w:rPr>
          <w:rFonts w:ascii="MS Mincho" w:eastAsia="MS Mincho" w:hAnsi="MS Mincho" w:cs="Times New Roman" w:hint="eastAsia"/>
          <w:sz w:val="20"/>
          <w:szCs w:val="20"/>
        </w:rPr>
        <w:t>☒</w:t>
      </w:r>
    </w:p>
    <w:p w:rsidR="005A2AA2" w:rsidRPr="005A2AA2" w:rsidRDefault="005A2AA2" w:rsidP="005A2AA2">
      <w:pPr>
        <w:spacing w:after="0" w:line="240" w:lineRule="auto"/>
        <w:ind w:firstLine="720"/>
        <w:jc w:val="center"/>
        <w:rPr>
          <w:rFonts w:ascii="Times New Roman" w:eastAsia="Times New Roman" w:hAnsi="Times New Roman" w:cs="Times New Roman"/>
          <w:sz w:val="10"/>
          <w:szCs w:val="10"/>
        </w:rPr>
      </w:pPr>
      <w:r w:rsidRPr="005A2AA2">
        <w:rPr>
          <w:rFonts w:ascii="Times New Roman" w:eastAsia="Times New Roman" w:hAnsi="Times New Roman" w:cs="Times New Roman"/>
          <w:sz w:val="10"/>
          <w:szCs w:val="1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The number of shares outstanding of each of the issuer's classes of common equity, as of March 31, 2016 was 87,210,000 </w:t>
      </w:r>
    </w:p>
    <w:tbl>
      <w:tblPr>
        <w:tblW w:w="5000" w:type="pct"/>
        <w:tblCellMar>
          <w:left w:w="0" w:type="dxa"/>
          <w:right w:w="0" w:type="dxa"/>
        </w:tblCellMar>
        <w:tblLook w:val="04A0" w:firstRow="1" w:lastRow="0" w:firstColumn="1" w:lastColumn="0" w:noHBand="0" w:noVBand="1"/>
      </w:tblPr>
      <w:tblGrid>
        <w:gridCol w:w="9360"/>
      </w:tblGrid>
      <w:tr w:rsidR="005A2AA2" w:rsidRPr="005A2AA2" w:rsidTr="005A2AA2">
        <w:tc>
          <w:tcPr>
            <w:tcW w:w="5000" w:type="pct"/>
            <w:tcBorders>
              <w:bottom w:val="single" w:sz="8" w:space="0" w:color="000000"/>
            </w:tcBorders>
            <w:hideMark/>
          </w:tcPr>
          <w:p w:rsidR="005A2AA2" w:rsidRPr="005A2AA2" w:rsidRDefault="005A2AA2" w:rsidP="005A2AA2">
            <w:pPr>
              <w:spacing w:after="0" w:line="256" w:lineRule="auto"/>
              <w:jc w:val="center"/>
              <w:rPr>
                <w:rFonts w:ascii="Times New Roman" w:eastAsia="Times New Roman" w:hAnsi="Times New Roman" w:cs="Times New Roman"/>
                <w:sz w:val="8"/>
                <w:szCs w:val="8"/>
              </w:rPr>
            </w:pPr>
            <w:r w:rsidRPr="005A2AA2">
              <w:rPr>
                <w:rFonts w:ascii="Times New Roman" w:eastAsia="Times New Roman" w:hAnsi="Times New Roman" w:cs="Times New Roman"/>
                <w:sz w:val="8"/>
                <w:szCs w:val="8"/>
              </w:rPr>
              <w:t> </w:t>
            </w:r>
          </w:p>
        </w:tc>
      </w:tr>
      <w:tr w:rsidR="005A2AA2" w:rsidRPr="005A2AA2" w:rsidTr="005A2AA2">
        <w:tc>
          <w:tcPr>
            <w:tcW w:w="0" w:type="auto"/>
            <w:tcBorders>
              <w:bottom w:val="single" w:sz="24" w:space="0" w:color="000000"/>
            </w:tcBorders>
            <w:hideMark/>
          </w:tcPr>
          <w:p w:rsidR="005A2AA2" w:rsidRPr="005A2AA2" w:rsidRDefault="005A2AA2" w:rsidP="005A2AA2">
            <w:pPr>
              <w:spacing w:after="0" w:line="256" w:lineRule="auto"/>
              <w:jc w:val="center"/>
              <w:rPr>
                <w:rFonts w:ascii="Times New Roman" w:eastAsia="Times New Roman" w:hAnsi="Times New Roman" w:cs="Times New Roman"/>
                <w:sz w:val="8"/>
                <w:szCs w:val="8"/>
              </w:rPr>
            </w:pPr>
            <w:r w:rsidRPr="005A2AA2">
              <w:rPr>
                <w:rFonts w:ascii="Times New Roman" w:eastAsia="Times New Roman" w:hAnsi="Times New Roman" w:cs="Times New Roman"/>
                <w:sz w:val="8"/>
                <w:szCs w:val="8"/>
              </w:rPr>
              <w:t> </w:t>
            </w:r>
          </w:p>
        </w:tc>
      </w:tr>
    </w:tbl>
    <w:p w:rsidR="005A2AA2" w:rsidRPr="005A2AA2" w:rsidRDefault="005A2AA2" w:rsidP="005A2AA2">
      <w:pPr>
        <w:spacing w:after="0" w:line="240" w:lineRule="auto"/>
        <w:jc w:val="center"/>
        <w:rPr>
          <w:rFonts w:ascii="Times New Roman" w:eastAsia="Times New Roman" w:hAnsi="Times New Roman" w:cs="Times New Roman"/>
          <w:sz w:val="20"/>
          <w:szCs w:val="20"/>
        </w:rPr>
      </w:pPr>
      <w:bookmarkStart w:id="0" w:name="a_001"/>
      <w:bookmarkEnd w:id="0"/>
      <w:r w:rsidRPr="005A2AA2">
        <w:rPr>
          <w:rFonts w:ascii="Times New Roman" w:eastAsia="Times New Roman" w:hAnsi="Times New Roman" w:cs="Times New Roman"/>
          <w:b/>
          <w:bCs/>
          <w:sz w:val="20"/>
          <w:szCs w:val="20"/>
        </w:rPr>
        <w:t>TABLE OF CONTENTS</w:t>
      </w:r>
    </w:p>
    <w:p w:rsidR="005A2AA2" w:rsidRPr="005A2AA2" w:rsidRDefault="005A2AA2" w:rsidP="005A2AA2">
      <w:pPr>
        <w:spacing w:after="0" w:line="240" w:lineRule="auto"/>
        <w:ind w:firstLine="720"/>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PART I – FINANCIAL INFORMATION</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5A2AA2" w:rsidRPr="005A2AA2" w:rsidTr="005A2AA2">
        <w:tc>
          <w:tcPr>
            <w:tcW w:w="350" w:type="pct"/>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1.</w:t>
            </w:r>
          </w:p>
        </w:tc>
        <w:tc>
          <w:tcPr>
            <w:tcW w:w="4300" w:type="pct"/>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02" w:history="1">
              <w:r w:rsidRPr="005A2AA2">
                <w:rPr>
                  <w:rFonts w:ascii="Times New Roman" w:eastAsia="Times New Roman" w:hAnsi="Times New Roman" w:cs="Times New Roman"/>
                  <w:color w:val="0000FF"/>
                  <w:sz w:val="20"/>
                  <w:szCs w:val="20"/>
                  <w:u w:val="single"/>
                </w:rPr>
                <w:t>Financial Statements (unaudited)</w:t>
              </w:r>
            </w:hyperlink>
          </w:p>
        </w:tc>
        <w:tc>
          <w:tcPr>
            <w:tcW w:w="350" w:type="pct"/>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12" w:history="1">
              <w:r w:rsidRPr="005A2AA2">
                <w:rPr>
                  <w:rFonts w:ascii="Times New Roman" w:eastAsia="Times New Roman" w:hAnsi="Times New Roman" w:cs="Times New Roman"/>
                  <w:color w:val="0000FF"/>
                  <w:sz w:val="20"/>
                  <w:szCs w:val="20"/>
                  <w:u w:val="single"/>
                </w:rPr>
                <w:t>Balance Sheets as of March 31, 2016 (unaudited) and June 30, 2015 (audited)</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13" w:history="1">
              <w:r w:rsidRPr="005A2AA2">
                <w:rPr>
                  <w:rFonts w:ascii="Times New Roman" w:eastAsia="Times New Roman" w:hAnsi="Times New Roman" w:cs="Times New Roman"/>
                  <w:color w:val="0000FF"/>
                  <w:sz w:val="20"/>
                  <w:szCs w:val="20"/>
                  <w:u w:val="single"/>
                </w:rPr>
                <w:t>Statements of Operations (unaudited) for the three and nine months ended March 31, 2016 and 2015</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14" w:history="1">
              <w:r w:rsidRPr="005A2AA2">
                <w:rPr>
                  <w:rFonts w:ascii="Times New Roman" w:eastAsia="Times New Roman" w:hAnsi="Times New Roman" w:cs="Times New Roman"/>
                  <w:color w:val="0000FF"/>
                  <w:sz w:val="20"/>
                  <w:szCs w:val="20"/>
                  <w:u w:val="single"/>
                </w:rPr>
                <w:t>Statement of Changes in Shareholders' Equity for the period to March 31, 2016</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15" w:history="1">
              <w:r w:rsidRPr="005A2AA2">
                <w:rPr>
                  <w:rFonts w:ascii="Times New Roman" w:eastAsia="Times New Roman" w:hAnsi="Times New Roman" w:cs="Times New Roman"/>
                  <w:color w:val="0000FF"/>
                  <w:sz w:val="20"/>
                  <w:szCs w:val="20"/>
                  <w:u w:val="single"/>
                </w:rPr>
                <w:t>Statements of Cash Flows (unaudited) for the nine months ended March 31, 2016 and 2015</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6</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16" w:history="1">
              <w:r w:rsidRPr="005A2AA2">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7</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2.</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03" w:history="1">
              <w:r w:rsidRPr="005A2AA2">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13</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3.</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04" w:history="1">
              <w:r w:rsidRPr="005A2AA2">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4.</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05" w:history="1">
              <w:r w:rsidRPr="005A2AA2">
                <w:rPr>
                  <w:rFonts w:ascii="Times New Roman" w:eastAsia="Times New Roman" w:hAnsi="Times New Roman" w:cs="Times New Roman"/>
                  <w:color w:val="0000FF"/>
                  <w:sz w:val="20"/>
                  <w:szCs w:val="20"/>
                  <w:u w:val="single"/>
                </w:rPr>
                <w:t>Controls and Procedures</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w:t>
            </w:r>
          </w:p>
        </w:tc>
      </w:tr>
    </w:tbl>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PART II – OTHER INFORMATION</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5A2AA2" w:rsidRPr="005A2AA2" w:rsidTr="005A2AA2">
        <w:tc>
          <w:tcPr>
            <w:tcW w:w="350" w:type="pct"/>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1.</w:t>
            </w:r>
          </w:p>
        </w:tc>
        <w:tc>
          <w:tcPr>
            <w:tcW w:w="4300" w:type="pct"/>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06" w:history="1">
              <w:r w:rsidRPr="005A2AA2">
                <w:rPr>
                  <w:rFonts w:ascii="Times New Roman" w:eastAsia="Times New Roman" w:hAnsi="Times New Roman" w:cs="Times New Roman"/>
                  <w:color w:val="0000FF"/>
                  <w:sz w:val="20"/>
                  <w:szCs w:val="20"/>
                  <w:u w:val="single"/>
                </w:rPr>
                <w:t>Legal Proceedings</w:t>
              </w:r>
            </w:hyperlink>
          </w:p>
        </w:tc>
        <w:tc>
          <w:tcPr>
            <w:tcW w:w="350" w:type="pct"/>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2.</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07" w:history="1">
              <w:r w:rsidRPr="005A2AA2">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3.</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08" w:history="1">
              <w:r w:rsidRPr="005A2AA2">
                <w:rPr>
                  <w:rFonts w:ascii="Times New Roman" w:eastAsia="Times New Roman" w:hAnsi="Times New Roman" w:cs="Times New Roman"/>
                  <w:color w:val="0000FF"/>
                  <w:sz w:val="20"/>
                  <w:szCs w:val="20"/>
                  <w:u w:val="single"/>
                </w:rPr>
                <w:t>Defaults Upon Senior Securities</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4.</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09" w:history="1">
              <w:r w:rsidRPr="005A2AA2">
                <w:rPr>
                  <w:rFonts w:ascii="Times New Roman" w:eastAsia="Times New Roman" w:hAnsi="Times New Roman" w:cs="Times New Roman"/>
                  <w:color w:val="0000FF"/>
                  <w:sz w:val="20"/>
                  <w:szCs w:val="20"/>
                  <w:u w:val="single"/>
                </w:rPr>
                <w:t>Mine Safety Disclosures</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18</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5.</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10" w:history="1">
              <w:r w:rsidRPr="005A2AA2">
                <w:rPr>
                  <w:rFonts w:ascii="Times New Roman" w:eastAsia="Times New Roman" w:hAnsi="Times New Roman" w:cs="Times New Roman"/>
                  <w:color w:val="0000FF"/>
                  <w:sz w:val="20"/>
                  <w:szCs w:val="20"/>
                  <w:u w:val="single"/>
                </w:rPr>
                <w:t>Other Information</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18</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6.</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w:anchor="a_011" w:history="1">
              <w:r w:rsidRPr="005A2AA2">
                <w:rPr>
                  <w:rFonts w:ascii="Times New Roman" w:eastAsia="Times New Roman" w:hAnsi="Times New Roman" w:cs="Times New Roman"/>
                  <w:color w:val="0000FF"/>
                  <w:sz w:val="20"/>
                  <w:szCs w:val="20"/>
                  <w:u w:val="single"/>
                </w:rPr>
                <w:t>Exhibits</w:t>
              </w:r>
            </w:hyperlink>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18</w:t>
            </w:r>
          </w:p>
        </w:tc>
      </w:tr>
      <w:tr w:rsidR="005A2AA2" w:rsidRPr="005A2AA2" w:rsidTr="005A2AA2">
        <w:tc>
          <w:tcPr>
            <w:tcW w:w="0" w:type="auto"/>
            <w:vAlign w:val="center"/>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center"/>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center"/>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gridSpan w:val="2"/>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SIGNATURES</w:t>
            </w:r>
          </w:p>
        </w:tc>
        <w:tc>
          <w:tcPr>
            <w:tcW w:w="0" w:type="auto"/>
            <w:hideMark/>
          </w:tcPr>
          <w:p w:rsidR="005A2AA2" w:rsidRPr="005A2AA2" w:rsidRDefault="005A2AA2" w:rsidP="005A2AA2">
            <w:pPr>
              <w:spacing w:after="0" w:line="256"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19</w:t>
            </w:r>
          </w:p>
        </w:tc>
      </w:tr>
    </w:tbl>
    <w:p w:rsidR="005A2AA2" w:rsidRPr="005A2AA2" w:rsidRDefault="005A2AA2" w:rsidP="005A2AA2">
      <w:pPr>
        <w:spacing w:after="200" w:line="276" w:lineRule="auto"/>
        <w:ind w:firstLine="720"/>
        <w:rPr>
          <w:rFonts w:ascii="Times New Roman" w:eastAsia="Times New Roman" w:hAnsi="Times New Roman" w:cs="Times New Roman"/>
          <w:sz w:val="16"/>
          <w:szCs w:val="16"/>
        </w:rPr>
      </w:pPr>
      <w:r w:rsidRPr="005A2AA2">
        <w:rPr>
          <w:rFonts w:ascii="Times New Roman" w:eastAsia="Times New Roman" w:hAnsi="Times New Roman" w:cs="Times New Roman"/>
          <w:sz w:val="16"/>
          <w:szCs w:val="16"/>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FORWARD-LOOKING STATEMENTS</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All statements other than statements of historical fact are statements that could be deemed forward-looking statements. The Company assumes no obligation and does not intend to update these forward-looking statements, except as </w:t>
      </w:r>
      <w:r w:rsidRPr="005A2AA2">
        <w:rPr>
          <w:rFonts w:ascii="Times New Roman" w:eastAsia="Times New Roman" w:hAnsi="Times New Roman" w:cs="Times New Roman"/>
          <w:sz w:val="20"/>
          <w:szCs w:val="20"/>
        </w:rPr>
        <w:lastRenderedPageBreak/>
        <w:t>required by law. When used in this report, the terms “NanoAntibiotics”, “BioVie”, “Company”, “we”, “our”, and “us” refer to NanoAntibiotics, Inc.</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1" w:name="a_002"/>
      <w:bookmarkEnd w:id="1"/>
      <w:r w:rsidRPr="005A2AA2">
        <w:rPr>
          <w:rFonts w:ascii="Times New Roman" w:eastAsia="Times New Roman" w:hAnsi="Times New Roman" w:cs="Times New Roman"/>
          <w:sz w:val="20"/>
          <w:szCs w:val="20"/>
        </w:rPr>
        <w:t>Part 1.  Financial Information</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Item 1.  Financial Statements</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5A2AA2" w:rsidRPr="005A2AA2" w:rsidTr="005A2AA2">
        <w:tc>
          <w:tcPr>
            <w:tcW w:w="5000" w:type="pct"/>
            <w:vAlign w:val="bottom"/>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NANOANTIBIOTICS, INC.</w:t>
            </w:r>
          </w:p>
        </w:tc>
      </w:tr>
      <w:tr w:rsidR="005A2AA2" w:rsidRPr="005A2AA2" w:rsidTr="005A2AA2">
        <w:tc>
          <w:tcPr>
            <w:tcW w:w="0" w:type="auto"/>
            <w:tcBorders>
              <w:bottom w:val="single" w:sz="8" w:space="0" w:color="000000"/>
            </w:tcBorders>
            <w:vAlign w:val="bottom"/>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bookmarkStart w:id="2" w:name="a_012"/>
            <w:bookmarkEnd w:id="2"/>
            <w:r w:rsidRPr="005A2AA2">
              <w:rPr>
                <w:rFonts w:ascii="Times New Roman" w:eastAsia="Times New Roman" w:hAnsi="Times New Roman" w:cs="Times New Roman"/>
                <w:b/>
                <w:bCs/>
                <w:sz w:val="20"/>
                <w:szCs w:val="20"/>
              </w:rPr>
              <w:t>BALANCE SHEETS</w:t>
            </w:r>
          </w:p>
        </w:tc>
      </w:tr>
    </w:tbl>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241"/>
        <w:gridCol w:w="748"/>
        <w:gridCol w:w="94"/>
        <w:gridCol w:w="1123"/>
        <w:gridCol w:w="94"/>
        <w:gridCol w:w="749"/>
        <w:gridCol w:w="94"/>
        <w:gridCol w:w="1123"/>
        <w:gridCol w:w="94"/>
      </w:tblGrid>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March 31,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June 30,</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2015</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ASSETS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(unaudited)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CURRENT ASSETS: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2800" w:type="pct"/>
            <w:tcMar>
              <w:top w:w="0" w:type="dxa"/>
              <w:left w:w="4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Cash</w:t>
            </w:r>
          </w:p>
        </w:tc>
        <w:tc>
          <w:tcPr>
            <w:tcW w:w="4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6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233,244</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4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6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267,481</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4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6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233,244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269,481</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233,244</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269,481</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LIABILITIES AND STOCKHOLDERS' DEFICIT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CURRENT LIABILITIES: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4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Accounts Payable</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650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650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4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444,056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322,950</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6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444,706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323,600</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STOCKHOLDERS' DEFICIT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Preferred stock; $0.001 par value; 10,000,000 shares authorized; 0 shares issued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and outstanding</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Common stock, $0.0001 par value; 300,000,000 shares authorized;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shares issued and 87,210,000 shares issued and outstanding</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Capital in excess of par value</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514,485</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514,485</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Prepaid services paid for with common stock</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(4,911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tcMar>
              <w:top w:w="0" w:type="dxa"/>
              <w:left w:w="2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(734,668</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(572,414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tcMar>
              <w:top w:w="0" w:type="dxa"/>
              <w:left w:w="4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Total Stockholders' Deficit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(211,462</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(54,119</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TOTAL LIABILITIES AND STOCKHOLDERS' DEFICIT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233,244</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269,481</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bl>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See accompanying notes to financial statement</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5A2AA2" w:rsidRPr="005A2AA2" w:rsidTr="005A2AA2">
        <w:tc>
          <w:tcPr>
            <w:tcW w:w="5000" w:type="pct"/>
            <w:vAlign w:val="bottom"/>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NANOANTIBIOTICS, INC.</w:t>
            </w:r>
          </w:p>
        </w:tc>
      </w:tr>
      <w:tr w:rsidR="005A2AA2" w:rsidRPr="005A2AA2" w:rsidTr="005A2AA2">
        <w:tc>
          <w:tcPr>
            <w:tcW w:w="0" w:type="auto"/>
            <w:tcBorders>
              <w:bottom w:val="single" w:sz="8" w:space="0" w:color="000000"/>
            </w:tcBorders>
            <w:vAlign w:val="bottom"/>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bookmarkStart w:id="3" w:name="a_013"/>
            <w:bookmarkEnd w:id="3"/>
            <w:r w:rsidRPr="005A2AA2">
              <w:rPr>
                <w:rFonts w:ascii="Times New Roman" w:eastAsia="Times New Roman" w:hAnsi="Times New Roman" w:cs="Times New Roman"/>
                <w:b/>
                <w:bCs/>
                <w:sz w:val="20"/>
                <w:szCs w:val="20"/>
              </w:rPr>
              <w:t>STATEMENTS OF OPERATION (UNAUDITED)</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1"/>
        <w:gridCol w:w="278"/>
        <w:gridCol w:w="100"/>
        <w:gridCol w:w="934"/>
        <w:gridCol w:w="92"/>
        <w:gridCol w:w="279"/>
        <w:gridCol w:w="100"/>
        <w:gridCol w:w="934"/>
        <w:gridCol w:w="92"/>
        <w:gridCol w:w="279"/>
        <w:gridCol w:w="100"/>
        <w:gridCol w:w="934"/>
        <w:gridCol w:w="92"/>
        <w:gridCol w:w="279"/>
        <w:gridCol w:w="100"/>
        <w:gridCol w:w="934"/>
        <w:gridCol w:w="92"/>
      </w:tblGrid>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For the Three Months Ended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For the Three Months Ended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For the Nine Months Ended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For the Nine Months Ended</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March 31,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March 31,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March 31,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March 31,</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lastRenderedPageBreak/>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2015</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REVENUE:</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GROSS MARGIN</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OPERATING EXPENSES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2000" w:type="pct"/>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Research and development expenses</w:t>
            </w:r>
          </w:p>
        </w:tc>
        <w:tc>
          <w:tcPr>
            <w:tcW w:w="1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1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1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1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3,400</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Payroll expenses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40,369</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40,369</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121,107</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121,562</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Professional fees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14,949</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5,605</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32,966</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42,139</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2,536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3,068</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8,336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11,422</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4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57,854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49,042</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162,409</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178,523</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(57,854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(49,042</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(162,409</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(178,523</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OTHER EXPENSE (INCOME)</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Interest expense</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(88</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(155</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(308</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tcMar>
              <w:top w:w="0" w:type="dxa"/>
              <w:left w:w="4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(88</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(155</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(308</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(57,810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(48,954</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(162,254</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(178,215</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WEIGHTED AVERAGE NUMBER OF</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bl>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See accompanying notes to financial statement</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5A2AA2" w:rsidRPr="005A2AA2" w:rsidTr="005A2AA2">
        <w:tc>
          <w:tcPr>
            <w:tcW w:w="5000" w:type="pct"/>
            <w:vAlign w:val="bottom"/>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NANOANTIBIOTICS, INC.</w:t>
            </w:r>
          </w:p>
        </w:tc>
      </w:tr>
      <w:tr w:rsidR="005A2AA2" w:rsidRPr="005A2AA2" w:rsidTr="005A2AA2">
        <w:tc>
          <w:tcPr>
            <w:tcW w:w="0" w:type="auto"/>
            <w:tcBorders>
              <w:bottom w:val="single" w:sz="8" w:space="0" w:color="000000"/>
            </w:tcBorders>
            <w:vAlign w:val="bottom"/>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bookmarkStart w:id="4" w:name="a_014"/>
            <w:bookmarkEnd w:id="4"/>
            <w:r w:rsidRPr="005A2AA2">
              <w:rPr>
                <w:rFonts w:ascii="Times New Roman" w:eastAsia="Times New Roman" w:hAnsi="Times New Roman" w:cs="Times New Roman"/>
                <w:b/>
                <w:bCs/>
                <w:sz w:val="20"/>
                <w:szCs w:val="20"/>
              </w:rPr>
              <w:t>STATEMENT OF STOCKHOLDERS' DEFICIT</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374"/>
        <w:gridCol w:w="56"/>
        <w:gridCol w:w="56"/>
        <w:gridCol w:w="900"/>
        <w:gridCol w:w="56"/>
        <w:gridCol w:w="56"/>
        <w:gridCol w:w="101"/>
        <w:gridCol w:w="526"/>
        <w:gridCol w:w="87"/>
        <w:gridCol w:w="56"/>
        <w:gridCol w:w="100"/>
        <w:gridCol w:w="650"/>
        <w:gridCol w:w="56"/>
        <w:gridCol w:w="56"/>
        <w:gridCol w:w="101"/>
        <w:gridCol w:w="618"/>
        <w:gridCol w:w="98"/>
        <w:gridCol w:w="56"/>
        <w:gridCol w:w="142"/>
        <w:gridCol w:w="851"/>
        <w:gridCol w:w="141"/>
        <w:gridCol w:w="56"/>
        <w:gridCol w:w="146"/>
        <w:gridCol w:w="876"/>
        <w:gridCol w:w="145"/>
      </w:tblGrid>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Prepaid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gridSpan w:val="3"/>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Capital in</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Services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Total</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Excess of</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Paid with</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Stockholders'</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Par Value</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Common Sock</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Deficit</w:t>
            </w:r>
          </w:p>
        </w:tc>
      </w:tr>
      <w:tr w:rsidR="005A2AA2" w:rsidRPr="005A2AA2" w:rsidTr="005A2AA2">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jc w:val="right"/>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jc w:val="right"/>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jc w:val="right"/>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jc w:val="right"/>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jc w:val="right"/>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jc w:val="right"/>
              <w:rPr>
                <w:rFonts w:ascii="Arial" w:eastAsia="Times New Roman" w:hAnsi="Arial" w:cs="Arial"/>
                <w:sz w:val="20"/>
                <w:szCs w:val="20"/>
              </w:rPr>
            </w:pPr>
            <w:r w:rsidRPr="005A2AA2">
              <w:rPr>
                <w:rFonts w:ascii="Arial" w:eastAsia="Times New Roman" w:hAnsi="Arial" w:cs="Arial"/>
                <w:sz w:val="20"/>
                <w:szCs w:val="20"/>
              </w:rPr>
              <w:t> </w:t>
            </w:r>
          </w:p>
        </w:tc>
        <w:tc>
          <w:tcPr>
            <w:tcW w:w="0" w:type="auto"/>
            <w:vAlign w:val="bottom"/>
            <w:hideMark/>
          </w:tcPr>
          <w:p w:rsidR="005A2AA2" w:rsidRPr="005A2AA2" w:rsidRDefault="005A2AA2" w:rsidP="005A2AA2">
            <w:pPr>
              <w:spacing w:after="0" w:line="240" w:lineRule="auto"/>
              <w:rPr>
                <w:rFonts w:ascii="Arial" w:eastAsia="Times New Roman" w:hAnsi="Arial" w:cs="Arial"/>
                <w:sz w:val="20"/>
                <w:szCs w:val="20"/>
              </w:rPr>
            </w:pPr>
            <w:r w:rsidRPr="005A2AA2">
              <w:rPr>
                <w:rFonts w:ascii="Arial" w:eastAsia="Times New Roman" w:hAnsi="Arial" w:cs="Arial"/>
                <w:sz w:val="20"/>
                <w:szCs w:val="20"/>
              </w:rPr>
              <w:t> </w:t>
            </w:r>
          </w:p>
        </w:tc>
      </w:tr>
      <w:tr w:rsidR="005A2AA2" w:rsidRPr="005A2AA2" w:rsidTr="005A2AA2">
        <w:tc>
          <w:tcPr>
            <w:tcW w:w="20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Balance, June 30, 2013</w:t>
            </w:r>
          </w:p>
        </w:tc>
        <w:tc>
          <w:tcPr>
            <w:tcW w:w="1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3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87,060,000</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1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3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8,706</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1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3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499,500</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1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3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1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3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(17,510</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1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3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490,696</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Issuance of common stock for services, $0.10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150,000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15</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14,985</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(12,411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2,589</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lastRenderedPageBreak/>
              <w:t>Balance, June 30, 2014</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87,210,000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514,485</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(12,411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(339,406</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171,389</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Amortization of prepaid services paid with common stock</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7,500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7,500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Balance, June 30, 2015</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87,210,000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514,485</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(4,911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(572,414</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(54,119</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Amortization of prepaid services paid with common stock (unaudited)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4,911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4,911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loss (unaudited)</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(162,254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(162,254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Balance, March 31, 2016 (unaudited)</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8,721</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514,485</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(734,668</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(211,462</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See accompanying notes to financial statement</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5A2AA2" w:rsidRPr="005A2AA2" w:rsidTr="005A2AA2">
        <w:tc>
          <w:tcPr>
            <w:tcW w:w="5000" w:type="pct"/>
            <w:vAlign w:val="bottom"/>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NANOANTIBIOTICS, INC.</w:t>
            </w:r>
          </w:p>
        </w:tc>
      </w:tr>
      <w:tr w:rsidR="005A2AA2" w:rsidRPr="005A2AA2" w:rsidTr="005A2AA2">
        <w:tc>
          <w:tcPr>
            <w:tcW w:w="0" w:type="auto"/>
            <w:tcBorders>
              <w:bottom w:val="single" w:sz="8" w:space="0" w:color="000000"/>
            </w:tcBorders>
            <w:vAlign w:val="bottom"/>
            <w:hideMark/>
          </w:tcPr>
          <w:p w:rsidR="005A2AA2" w:rsidRPr="005A2AA2" w:rsidRDefault="005A2AA2" w:rsidP="005A2AA2">
            <w:pPr>
              <w:spacing w:after="0" w:line="256" w:lineRule="auto"/>
              <w:jc w:val="center"/>
              <w:rPr>
                <w:rFonts w:ascii="Times New Roman" w:eastAsia="Times New Roman" w:hAnsi="Times New Roman" w:cs="Times New Roman"/>
                <w:sz w:val="20"/>
                <w:szCs w:val="20"/>
              </w:rPr>
            </w:pPr>
            <w:bookmarkStart w:id="5" w:name="a_015"/>
            <w:bookmarkEnd w:id="5"/>
            <w:r w:rsidRPr="005A2AA2">
              <w:rPr>
                <w:rFonts w:ascii="Times New Roman" w:eastAsia="Times New Roman" w:hAnsi="Times New Roman" w:cs="Times New Roman"/>
                <w:b/>
                <w:bCs/>
                <w:sz w:val="20"/>
                <w:szCs w:val="20"/>
              </w:rPr>
              <w:t>STATEMENT OF CASH FLOWS (UNAUDITED)</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For the Nine</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For the Nine</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Months Ended</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Months Ended</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March 31, 2016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March 31, 2015</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CASH FLOWS FROM OPERATING ACTIVITIES: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2800" w:type="pct"/>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loss</w:t>
            </w:r>
          </w:p>
        </w:tc>
        <w:tc>
          <w:tcPr>
            <w:tcW w:w="4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6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(162,254</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4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6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(178,215</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Amortization of prepaid common stock for services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4,911</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5,630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4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Decrease (increase) in prepaid expenses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2,000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(3,500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tcMar>
              <w:top w:w="0" w:type="dxa"/>
              <w:left w:w="4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Increase (decrease) in:</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600" w:type="dxa"/>
              <w:bottom w:w="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Accounts Payable</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650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6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121,106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121,106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(34,237</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(54,329</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CASH FLOWS FROM FINANCING ACTIVITIES: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decrease in cash</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(34,237</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(54,329</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233,244</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278,535</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SUPPLEMENTAL CASH FLOW INFORMATION:</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20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bl>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See accompanying notes to financial statement</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lastRenderedPageBreak/>
        <w:t>NANOANTIBIOTICS, INC.</w:t>
      </w:r>
    </w:p>
    <w:p w:rsidR="005A2AA2" w:rsidRPr="005A2AA2" w:rsidRDefault="005A2AA2" w:rsidP="005A2AA2">
      <w:pPr>
        <w:spacing w:after="0" w:line="240" w:lineRule="auto"/>
        <w:jc w:val="center"/>
        <w:rPr>
          <w:rFonts w:ascii="Times New Roman" w:eastAsia="Times New Roman" w:hAnsi="Times New Roman" w:cs="Times New Roman"/>
          <w:sz w:val="20"/>
          <w:szCs w:val="20"/>
        </w:rPr>
      </w:pPr>
      <w:bookmarkStart w:id="6" w:name="a_016"/>
      <w:bookmarkEnd w:id="6"/>
      <w:r w:rsidRPr="005A2AA2">
        <w:rPr>
          <w:rFonts w:ascii="Times New Roman" w:eastAsia="Times New Roman" w:hAnsi="Times New Roman" w:cs="Times New Roman"/>
          <w:b/>
          <w:bCs/>
          <w:sz w:val="20"/>
          <w:szCs w:val="20"/>
        </w:rPr>
        <w:t>Notes to Financial Statements</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For the Three and Nine Months Ended March 31, 2016 and 2015</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(unaudited)</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A2AA2" w:rsidRPr="005A2AA2" w:rsidTr="005A2AA2">
        <w:tc>
          <w:tcPr>
            <w:tcW w:w="15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1.</w:t>
            </w:r>
          </w:p>
        </w:tc>
        <w:tc>
          <w:tcPr>
            <w:tcW w:w="485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Background Information</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NanoAntibiotics, Inc. (the “Company”) was incorporated in the state of Nevada on April 10, 2013 as an early stage biotechnology company. On April 11, 2016, the Company entered into and consummated an agreement and Plan of Merger, with LAT Acquisition Corp., a Nevada corporation and wholly-owned subsidiary of the Company, and LAT Pharma, LLC, an Illinois limited liability company (“LAT”). Pursuant to the terms of the Merger Agreement, LAT Acquisition merged with and into LAT in a statutory triangular merger with LAT surviving as a wholly-owned subsidiary of the Company. As consideration for the Merger, the Company issued the interest holders of LAT an aggregate of 39,820,000 shares of its common stock in accordance with their pro rata ownership of LAT prior to the Merger.</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Prior to the Merger the Company was exclusively </w:t>
      </w:r>
      <w:r w:rsidRPr="005A2AA2">
        <w:rPr>
          <w:rFonts w:ascii="Times New Roman" w:eastAsia="Times New Roman" w:hAnsi="Times New Roman" w:cs="Times New Roman"/>
          <w:color w:val="222222"/>
          <w:sz w:val="20"/>
          <w:szCs w:val="20"/>
          <w:shd w:val="clear" w:color="auto" w:fill="FFFFFF"/>
        </w:rPr>
        <w:t xml:space="preserve">developing novel nanotechnology anti-infective drugs to combat multi-drug resistant bacteria. Developing this technology in-house is resource-intensive with respect to time, personnel and capital necessary for scientific discovery. The Company is seeking to license additional needed technology to help advance its research. As such, we are extensively focused on identifying and negotiating licensing rights with universities and inventors for requisite technologies to advance our own nanotechnology platform. These negotiations often are unsuccessful. Thus far they have not led to a license agreement.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Following the Merger, </w:t>
      </w:r>
      <w:r w:rsidRPr="005A2AA2">
        <w:rPr>
          <w:rFonts w:ascii="Times New Roman" w:eastAsia="Times New Roman" w:hAnsi="Times New Roman" w:cs="Times New Roman"/>
          <w:color w:val="222222"/>
          <w:sz w:val="20"/>
          <w:szCs w:val="20"/>
          <w:shd w:val="clear" w:color="auto" w:fill="FFFFFF"/>
        </w:rPr>
        <w:t>our asset pertaining to the efflux pump, which is designed to combat multi-drug resistant bacteria remains with the company and we are continuing with our efforts</w:t>
      </w:r>
      <w:r w:rsidRPr="005A2AA2">
        <w:rPr>
          <w:rFonts w:ascii="Times New Roman" w:eastAsia="Times New Roman" w:hAnsi="Times New Roman" w:cs="Times New Roman"/>
          <w:sz w:val="20"/>
          <w:szCs w:val="20"/>
        </w:rPr>
        <w:t xml:space="preserve">. The Company also is continuing the development of LAT’s lead clinical therapeutic candidate “CIP Terlipressin Technology”. The Company’s board authorized a name change </w:t>
      </w:r>
      <w:r w:rsidRPr="005A2AA2">
        <w:rPr>
          <w:rFonts w:ascii="Times New Roman" w:eastAsia="Times New Roman" w:hAnsi="Times New Roman" w:cs="Times New Roman"/>
          <w:sz w:val="20"/>
          <w:szCs w:val="20"/>
          <w:shd w:val="clear" w:color="auto" w:fill="FFFFFF"/>
        </w:rPr>
        <w:t>on April 15, 2016, in which a majority of shareholders of NanoAntibiotics, Inc. approved an amendment to the Registrant’s articles of incorporation to change the corporate name to BioVie Inc.  </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Immediately prior to the Merger, the Company had 87,210,000 shares of Common Stock issued and outstanding. In connection with the Merger, certain shareholders of the Company collectively agreed to retire and cancel an aggregate of 39,820,000 shares of Common Stock. Following the consummation of the Merger, the issuance of the Merger Shares, and the retirement of the 39,820,000 shares of Common Stock, the Company had 87,210,000 shares of Common Stock issued and outstanding and the LAT Holders beneficially own 39,820,000 shares or approximately forty-six percent (46%) of such issued and outstanding Common Stock.</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A2AA2" w:rsidRPr="005A2AA2" w:rsidTr="005A2AA2">
        <w:tc>
          <w:tcPr>
            <w:tcW w:w="15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2.</w:t>
            </w:r>
          </w:p>
        </w:tc>
        <w:tc>
          <w:tcPr>
            <w:tcW w:w="485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Going Concern</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accompanying financial statements have been prepared assuming that the Company will continue as a going concern. For the nine months ended March 31, 2016, the Company had a net loss of $162,254.  As of March 31, 2016,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A2AA2" w:rsidRPr="005A2AA2" w:rsidTr="005A2AA2">
        <w:tc>
          <w:tcPr>
            <w:tcW w:w="15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3.</w:t>
            </w:r>
          </w:p>
        </w:tc>
        <w:tc>
          <w:tcPr>
            <w:tcW w:w="485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Significant Accounting Policies</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lastRenderedPageBreak/>
        <w:t>Unaudited Interim Financial Statements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Basis of Presentation</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Cash</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non-interest bearing cash balances were fully insured at March 31, 2016, and our interest bearing cash balances may exceed federally insured limits.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Financial Instruments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Research and Development</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Research and development costs are charged to operations when incurred and are included in operating expenses. The Company expensed $0 for research and development for the three months ended March 31, 2016 and 2015 and $0 and $3,400 for research and development for the nine months ended March 31, 2016 and 2015, respectively.</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Income Taxes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 follows the provisions of FASB ASC 740-10 “</w:t>
      </w:r>
      <w:r w:rsidRPr="005A2AA2">
        <w:rPr>
          <w:rFonts w:ascii="Times New Roman" w:eastAsia="Times New Roman" w:hAnsi="Times New Roman" w:cs="Times New Roman"/>
          <w:i/>
          <w:iCs/>
          <w:sz w:val="20"/>
          <w:szCs w:val="20"/>
        </w:rPr>
        <w:t>Uncertainty in Income Taxes</w:t>
      </w:r>
      <w:r w:rsidRPr="005A2AA2">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Earnings (Loss) per Share</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Basic loss per share is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Common stock equivalents for the nine month periods ended March 31, 2016 and 2015 were anti-dilutive due to the net losses sustained by the Company during these periods. For the three and nine months ended March 31, 2016 and 2015 potentially dilutive common stock warrants of 5,000,000 and 5,000,000 have been excluded from dilutive earnings per share due to the Company’s losses in all periods presented.</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Stock-based Compensation</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lastRenderedPageBreak/>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On February 20, 2014, the Company entered into a two year agreement with a Consultant to serve as a scientific advisor and to participate as a member of the Company’s Scientific Advisory Board.  In exchange for these services, the Company has granted the Consultant 100,000 shares of common stock.  On February 24, 2014, the Company entered into a two year agreement with a consultant to serve as a scientific adviser and to participate as a member of the Company’s Scientific Advisory Board. In exchange for these services, the Company has granted the Consultant 50,000 shares of common stock.  The 150,000 shares of common stock are valued at a total of $15,000 and recorded in a prepaid expense contra equity account.  For the three and nine month periods ended March 31, 2016, $1,130 and $4,911 has been expensed, respectively.</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rPr>
        <w:t>Fair Value Measurements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2008 fiscal year and the impact of adoption was not significant. FASB Accounting Standards Codification (ASC) 820 “</w:t>
      </w:r>
      <w:r w:rsidRPr="005A2AA2">
        <w:rPr>
          <w:rFonts w:ascii="Times New Roman" w:eastAsia="Times New Roman" w:hAnsi="Times New Roman" w:cs="Times New Roman"/>
          <w:i/>
          <w:iCs/>
          <w:sz w:val="20"/>
          <w:szCs w:val="20"/>
        </w:rPr>
        <w:t>Fair Value Measurements and Disclosures</w:t>
      </w:r>
      <w:r w:rsidRPr="005A2AA2">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Level 1 - Unadjusted quoted prices in active markets that are accessible at the measurement date for identical, unrestricted assets or liabilities.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Level 3 - Inputs that are both significant to the fair value measurement and unobservable.</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Fair value estimates discussed herein are based upon certain market assumptions and pertinent information available to management as of March 31, 2016. The respective carrying value of certain on-balance-sheet financial instruments approximated their fair values due to the short-term nature of these instruments. These financial instruments include accounts payable.</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i/>
          <w:iCs/>
          <w:sz w:val="20"/>
          <w:szCs w:val="20"/>
          <w:u w:val="single"/>
        </w:rPr>
        <w:t>Recent accounting pronouncements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 August 2014, the Financial Accounting Standards Board (“FASB”) issued Accounting Standards Update (“ASU”) No. 2014-15, “Presentation of Financial Statements-Going Concern (Subtopic 205-40): Disclosure of Uncertainties about an Entity’s Ability to Continue as a Going Concern” (“ASU 2014-15”). ASU 2014-15 is intended to define management’s responsibility to evaluate whether there is substantial doubt about an organizations ability to continue as a going concern and to provide related footnote disclosures. The amendments in this ASU are effective for reporting periods beginning after December 15, 2016, with early adoption permitted. The Company is currently assessing the impact the adoption of ASU 2014-15 will have on its financial statements.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lastRenderedPageBreak/>
        <w:t>Other recent accounting pronouncements issued by the FASB (including its EITF), the AICPA, and the SEC did not or are not believed by management to have a material impact on the Company’s financial statements.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4. Commitments and Contingencies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Office Lease</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Employment Agreements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An employment agreement with the Company’s previous Chief Executive Officer (CEO) /Chief Financial Officer (CFO) for $150,000 in annual salary, expired on June 30, 2015. Effective April 11, 2016, the (previous) CEO/CFO resigned.</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On April 11, 2016 the Company entered into employment agreement with CEO Jonathan Adams. The Company’s agreement provides for a three-year term with minimum annual base salary of $250,000 per year.</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A2AA2" w:rsidRPr="005A2AA2" w:rsidTr="005A2AA2">
        <w:tc>
          <w:tcPr>
            <w:tcW w:w="15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5.</w:t>
            </w:r>
          </w:p>
        </w:tc>
        <w:tc>
          <w:tcPr>
            <w:tcW w:w="485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Income Taxes</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was no net deferred tax benefit or expense for the period ended March 31, 2016.</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There is no current or deferred income tax expense or benefit allocated to continuing operations for the period ended March 31, 2016.</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March 31, 2016</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A2AA2" w:rsidRPr="005A2AA2" w:rsidRDefault="005A2AA2" w:rsidP="005A2AA2">
            <w:pPr>
              <w:spacing w:after="0" w:line="240" w:lineRule="auto"/>
              <w:jc w:val="center"/>
              <w:rPr>
                <w:rFonts w:ascii="Times New Roman" w:eastAsia="Times New Roman" w:hAnsi="Times New Roman" w:cs="Times New Roman"/>
                <w:b/>
                <w:bCs/>
                <w:sz w:val="20"/>
                <w:szCs w:val="20"/>
              </w:rPr>
            </w:pPr>
            <w:r w:rsidRPr="005A2AA2">
              <w:rPr>
                <w:rFonts w:ascii="Times New Roman" w:eastAsia="Times New Roman" w:hAnsi="Times New Roman" w:cs="Times New Roman"/>
                <w:b/>
                <w:bCs/>
                <w:sz w:val="20"/>
                <w:szCs w:val="20"/>
              </w:rPr>
              <w:t>June 30, 2015</w:t>
            </w:r>
          </w:p>
        </w:tc>
      </w:tr>
      <w:tr w:rsidR="005A2AA2" w:rsidRPr="005A2AA2" w:rsidTr="005A2AA2">
        <w:tc>
          <w:tcPr>
            <w:tcW w:w="28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Tax expense (benefit) at U.S. statutory rate</w:t>
            </w:r>
          </w:p>
        </w:tc>
        <w:tc>
          <w:tcPr>
            <w:tcW w:w="4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6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(51,900</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4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6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(79,200</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State income tax expense (benefit), net of federal benefit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(8,100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(11,700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Effect of non-deductible expenses</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Other</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60,000</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90,900</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tax effects of temporary differences that give rise to significant portions of the deferred tax assets and deferred tax liabilities at March 31, 2016 are as follows: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Deferred tax assets (liability), noncurrent:</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vAlign w:val="bottom"/>
            <w:hideMark/>
          </w:tcPr>
          <w:p w:rsidR="005A2AA2" w:rsidRPr="005A2AA2" w:rsidRDefault="005A2AA2" w:rsidP="005A2AA2">
            <w:pPr>
              <w:spacing w:after="0" w:line="240" w:lineRule="auto"/>
              <w:jc w:val="right"/>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rPr>
            </w:pPr>
            <w:r w:rsidRPr="005A2AA2">
              <w:rPr>
                <w:rFonts w:ascii="Times New Roman" w:eastAsia="Times New Roman" w:hAnsi="Times New Roman" w:cs="Times New Roman"/>
              </w:rPr>
              <w:t> </w:t>
            </w:r>
          </w:p>
        </w:tc>
      </w:tr>
      <w:tr w:rsidR="005A2AA2" w:rsidRPr="005A2AA2" w:rsidTr="005A2AA2">
        <w:tc>
          <w:tcPr>
            <w:tcW w:w="35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operating loss</w:t>
            </w:r>
          </w:p>
        </w:tc>
        <w:tc>
          <w:tcPr>
            <w:tcW w:w="5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9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283,300</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(283,300</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bl>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Change in valuation allowance:</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5A2AA2" w:rsidRPr="005A2AA2" w:rsidTr="005A2AA2">
        <w:tc>
          <w:tcPr>
            <w:tcW w:w="35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Balance, June 30, 2015</w:t>
            </w:r>
          </w:p>
        </w:tc>
        <w:tc>
          <w:tcPr>
            <w:tcW w:w="50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900" w:type="pct"/>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223,300</w:t>
            </w:r>
          </w:p>
        </w:tc>
        <w:tc>
          <w:tcPr>
            <w:tcW w:w="50" w:type="pct"/>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Increase in valuation allowance</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60,000</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Balance, December 31, 2015</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283,300</w:t>
            </w:r>
          </w:p>
        </w:tc>
        <w:tc>
          <w:tcPr>
            <w:tcW w:w="0" w:type="auto"/>
            <w:tcMar>
              <w:top w:w="0" w:type="dxa"/>
              <w:left w:w="0" w:type="dxa"/>
              <w:bottom w:w="20" w:type="dxa"/>
              <w:right w:w="0" w:type="dxa"/>
            </w:tcMar>
            <w:vAlign w:val="bottom"/>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lastRenderedPageBreak/>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March 31, 2016.</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As of March 31, 2016, the Company had federal and state net operating loss carry-forwards totaling approximately $734,700 which begin expiring in 2022.</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 xml:space="preserve">6. Subsequent Event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On April 11, 2016, the Company entered into and consummated an Agreement and Plan of Merger (the “Merger Agreement”), with LAT Acquisition Corp., a Nevada corporation and wholly-owned subsidiary of the Company (“Acquisition”) and LAT Pharma, LLC an Illinois limited liability company (“LAT”). Pursuant to the terms of the Merger Agreement, Acquisition merged with and into LAT in a statutory triangular merger (the “Merger”) with LAT surviving as a wholly-owned subsidiary of the Company. As consideration for the Merger, the Company issued the interest holders of LAT (the “LAT Holders”) an aggregate of 39,820,000 shares of our Common Stock issued to the LAT Holders in accordance with their pro rata ownership of LAT membership interests prior to the Merger. Following the Merger, the Registrant owns 100% of LAT and will continue the development of LAT’s lead clinical therapeutic CIP Terlipressin Technology.</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Immediately prior to the Merger, the Company had 87,210,000 shares of Common Stock issued and outstanding. In connection with the Merger, certain shareholders of the Company collectively agreed to retire and cancel an aggregate of 39,820,000 shares of Common Stock. Following the consummation of the Merger, the issuance of the Merger Shares, and the retirement of the 39,820,000 shares of Common Stock, the Company had 87,210,000 shares of Common Stock issued and outstanding and the LAT Holders beneficially own 39,820,000 shares or approximately forty-six percent (46%) of such issued and outstanding Common Stock.</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Under the acquisition method of accounting, the transaction was valued for accounting purposes at $2,389,200, which was the estimated fair value of the consideration paid by the Company. The estimate was based on the consideration paid of 39,820,000 shares of common stock valued based on the closing price on 04/11/2016 of $0.06 per share.</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assets and liabilities of LAT Pharma, Inc. were recorded at their respective fair values as of the closing date of the Merger Agreement, and the following table summarizes these values based on the balance sheet at April 11, 2016. </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0"/>
        <w:gridCol w:w="966"/>
        <w:gridCol w:w="60"/>
        <w:gridCol w:w="60"/>
        <w:gridCol w:w="8174"/>
      </w:tblGrid>
      <w:tr w:rsidR="005A2AA2" w:rsidRPr="005A2AA2" w:rsidTr="005A2AA2">
        <w:tc>
          <w:tcPr>
            <w:tcW w:w="50" w:type="pct"/>
            <w:vAlign w:val="bottom"/>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550" w:type="pct"/>
            <w:vAlign w:val="center"/>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9,912</w:t>
            </w:r>
          </w:p>
        </w:tc>
        <w:tc>
          <w:tcPr>
            <w:tcW w:w="0" w:type="pct"/>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pct"/>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center"/>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Assets Purchased</w:t>
            </w:r>
          </w:p>
        </w:tc>
      </w:tr>
      <w:tr w:rsidR="005A2AA2" w:rsidRPr="005A2AA2" w:rsidTr="005A2AA2">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tcBorders>
              <w:bottom w:val="single" w:sz="8" w:space="0" w:color="000000"/>
            </w:tcBorders>
            <w:vAlign w:val="center"/>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10,000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center"/>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Liabilities Assumed</w:t>
            </w:r>
          </w:p>
        </w:tc>
      </w:tr>
      <w:tr w:rsidR="005A2AA2" w:rsidRPr="005A2AA2" w:rsidTr="005A2AA2">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center"/>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(88)</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center"/>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Net Assets Purchased</w:t>
            </w:r>
          </w:p>
        </w:tc>
      </w:tr>
      <w:tr w:rsidR="005A2AA2" w:rsidRPr="005A2AA2" w:rsidTr="005A2AA2">
        <w:tc>
          <w:tcPr>
            <w:tcW w:w="0" w:type="auto"/>
            <w:tcBorders>
              <w:bottom w:val="single" w:sz="8" w:space="0" w:color="000000"/>
            </w:tcBorders>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tcBorders>
              <w:bottom w:val="single" w:sz="8" w:space="0" w:color="000000"/>
            </w:tcBorders>
            <w:vAlign w:val="center"/>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2,389,200</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center"/>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Purchase Price</w:t>
            </w:r>
          </w:p>
        </w:tc>
      </w:tr>
      <w:tr w:rsidR="005A2AA2" w:rsidRPr="005A2AA2" w:rsidTr="005A2AA2">
        <w:tc>
          <w:tcPr>
            <w:tcW w:w="0" w:type="auto"/>
            <w:tcBorders>
              <w:bottom w:val="double" w:sz="6" w:space="0" w:color="000000"/>
            </w:tcBorders>
            <w:vAlign w:val="bottom"/>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center"/>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2,389,288</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center"/>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Intangible Asset from Purchase</w:t>
            </w:r>
          </w:p>
        </w:tc>
      </w:tr>
    </w:tbl>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Intangible asset detail </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0"/>
        <w:gridCol w:w="1060"/>
        <w:gridCol w:w="60"/>
        <w:gridCol w:w="60"/>
        <w:gridCol w:w="8080"/>
      </w:tblGrid>
      <w:tr w:rsidR="005A2AA2" w:rsidRPr="005A2AA2" w:rsidTr="005A2AA2">
        <w:tc>
          <w:tcPr>
            <w:tcW w:w="50" w:type="pct"/>
            <w:tcBorders>
              <w:bottom w:val="single" w:sz="8" w:space="0" w:color="000000"/>
            </w:tcBorders>
            <w:vAlign w:val="bottom"/>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600" w:type="pct"/>
            <w:tcBorders>
              <w:bottom w:val="single" w:sz="8" w:space="0" w:color="000000"/>
            </w:tcBorders>
            <w:vAlign w:val="center"/>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2,389,288</w:t>
            </w:r>
          </w:p>
        </w:tc>
        <w:tc>
          <w:tcPr>
            <w:tcW w:w="0" w:type="pct"/>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pct"/>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center"/>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Intangible asset (provisional pending final valuation)</w:t>
            </w:r>
          </w:p>
        </w:tc>
      </w:tr>
      <w:tr w:rsidR="005A2AA2" w:rsidRPr="005A2AA2" w:rsidTr="005A2AA2">
        <w:tc>
          <w:tcPr>
            <w:tcW w:w="0" w:type="auto"/>
            <w:tcBorders>
              <w:bottom w:val="double" w:sz="6" w:space="0" w:color="000000"/>
            </w:tcBorders>
            <w:vAlign w:val="bottom"/>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0" w:type="auto"/>
            <w:tcBorders>
              <w:bottom w:val="double" w:sz="6" w:space="0" w:color="000000"/>
            </w:tcBorders>
            <w:vAlign w:val="center"/>
            <w:hideMark/>
          </w:tcPr>
          <w:p w:rsidR="005A2AA2" w:rsidRPr="005A2AA2" w:rsidRDefault="005A2AA2" w:rsidP="005A2AA2">
            <w:pPr>
              <w:spacing w:after="0" w:line="240" w:lineRule="auto"/>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2,389,288</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bottom"/>
            <w:hideMark/>
          </w:tcPr>
          <w:p w:rsidR="005A2AA2" w:rsidRPr="005A2AA2" w:rsidRDefault="005A2AA2" w:rsidP="005A2AA2">
            <w:pPr>
              <w:spacing w:after="0" w:line="240" w:lineRule="auto"/>
              <w:rPr>
                <w:rFonts w:ascii="Times New Roman" w:eastAsia="Times New Roman" w:hAnsi="Times New Roman" w:cs="Times New Roman"/>
                <w:sz w:val="24"/>
                <w:szCs w:val="24"/>
              </w:rPr>
            </w:pPr>
            <w:r w:rsidRPr="005A2AA2">
              <w:rPr>
                <w:rFonts w:ascii="Times New Roman" w:eastAsia="Times New Roman" w:hAnsi="Times New Roman" w:cs="Times New Roman"/>
                <w:sz w:val="24"/>
                <w:szCs w:val="24"/>
              </w:rPr>
              <w:t> </w:t>
            </w:r>
          </w:p>
        </w:tc>
        <w:tc>
          <w:tcPr>
            <w:tcW w:w="0" w:type="auto"/>
            <w:vAlign w:val="center"/>
            <w:hideMark/>
          </w:tcPr>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Intangible Asset from Purchase</w:t>
            </w:r>
          </w:p>
        </w:tc>
      </w:tr>
    </w:tbl>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Under the 338(h)(10) election, all goodwill and intangibles related to the acquisition of LAT Pharma will be fully deductible for tax purposes.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initial accounting for the business combination has not been completed because the valuation of the intangible assets has not been received.</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amount of LAT's revenue and expenses that would be included in the Company's consolidated income statement for the three month’s ended March 31, 2016 if the acquisition date had been January 1, 2016 is $0 revenues and $24,516 expenses.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lastRenderedPageBreak/>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7" w:name="a_003"/>
      <w:bookmarkEnd w:id="7"/>
      <w:r w:rsidRPr="005A2AA2">
        <w:rPr>
          <w:rFonts w:ascii="Times New Roman" w:eastAsia="Times New Roman" w:hAnsi="Times New Roman" w:cs="Times New Roman"/>
          <w:b/>
          <w:bCs/>
          <w:sz w:val="20"/>
          <w:szCs w:val="20"/>
        </w:rPr>
        <w:t>Item 2. Management’s Discussion and Analysis of Financial Condition and Results of Operations</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5A2AA2" w:rsidRPr="005A2AA2" w:rsidRDefault="005A2AA2" w:rsidP="005A2AA2">
      <w:pPr>
        <w:spacing w:after="0" w:line="240" w:lineRule="auto"/>
        <w:ind w:firstLine="56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“NanoAntibiotics”, “BioVie”, “Company”, “we”, “our”, and “us” refer to NanoAntibiotics Inc.</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On April 11, 2016, the Company entered into and consummated an agreement and Plan of Merger, with LAT Acquisition Corp., a Nevada corporation and wholly-owned subsidiary of the Company, and LAT Pharma, LLC, an Illinois limited liability company (“LAT”). Pursuant to the terms of the Merger Agreement, LAT Acquisition merged with and into LAT in a statutory triangular merger with LAT surviving as a wholly-owned subsidiary of the Company.</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Prior to the Merger the Company was exclusively </w:t>
      </w:r>
      <w:r w:rsidRPr="005A2AA2">
        <w:rPr>
          <w:rFonts w:ascii="Times New Roman" w:eastAsia="Times New Roman" w:hAnsi="Times New Roman" w:cs="Times New Roman"/>
          <w:color w:val="222222"/>
          <w:sz w:val="20"/>
          <w:szCs w:val="20"/>
          <w:shd w:val="clear" w:color="auto" w:fill="FFFFFF"/>
        </w:rPr>
        <w:t xml:space="preserve">developing novel nanotechnology anti-infective drugs to combat multi-drug resistant bacteria. Developing this technology in-house is resource-intensive with respect to time, personnel and capital necessary for scientific discovery. The Company is seeking to license additional needed technology to help </w:t>
      </w:r>
      <w:r w:rsidRPr="005A2AA2">
        <w:rPr>
          <w:rFonts w:ascii="Times New Roman" w:eastAsia="Times New Roman" w:hAnsi="Times New Roman" w:cs="Times New Roman"/>
          <w:sz w:val="20"/>
          <w:szCs w:val="20"/>
          <w:shd w:val="clear" w:color="auto" w:fill="FFFFFF"/>
        </w:rPr>
        <w:t xml:space="preserve">advance its research. As such, we are extensively focused on identifying and negotiating licensing rights with universities and inventors for requisite technologies to advance our own nanotechnology platform. These negotiations often are unsuccessful. Thus far they have not led to a license agreement. </w:t>
      </w:r>
    </w:p>
    <w:p w:rsidR="005A2AA2" w:rsidRPr="005A2AA2" w:rsidRDefault="005A2AA2" w:rsidP="005A2AA2">
      <w:pPr>
        <w:spacing w:after="0" w:line="240" w:lineRule="auto"/>
        <w:jc w:val="both"/>
        <w:rPr>
          <w:rFonts w:ascii="Times New Roman" w:eastAsia="Times New Roman" w:hAnsi="Times New Roman" w:cs="Times New Roman"/>
          <w:color w:val="222222"/>
          <w:sz w:val="20"/>
          <w:szCs w:val="20"/>
        </w:rPr>
      </w:pPr>
      <w:r w:rsidRPr="005A2AA2">
        <w:rPr>
          <w:rFonts w:ascii="Times New Roman" w:eastAsia="Times New Roman" w:hAnsi="Times New Roman" w:cs="Times New Roman"/>
          <w:color w:val="222222"/>
          <w:sz w:val="20"/>
          <w:szCs w:val="20"/>
          <w:shd w:val="clear" w:color="auto" w:fill="FFFFFF"/>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As a result of the merger, we acquired two product development programs, “CIP Terlipressin Technology” and a minority stake in novel modified terlipressin compounds being developed by its partner PharmaIN Corp. (Bothell, </w:t>
      </w:r>
      <w:r w:rsidRPr="005A2AA2">
        <w:rPr>
          <w:rFonts w:ascii="Times New Roman" w:eastAsia="Times New Roman" w:hAnsi="Times New Roman" w:cs="Times New Roman"/>
          <w:sz w:val="20"/>
          <w:szCs w:val="20"/>
        </w:rPr>
        <w:lastRenderedPageBreak/>
        <w:t>WA). The Company’s LAT Pharma, held a pre-investigational new drug (“pre-IND”) meeting with the FDA in early 2016, and received guidance to develop an IND submission. If accepted by the FDA, “CIP Terlipressin Technology” could enter human clinical trials as early as next year (2017).</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“CIP Terlipressin Technology” is being developed by the Company with the goal of attacking ascites at the mechanistic source by alleviating the portal hypertension and correcting splanchnic vasodilation, thereby increasing effective blood volume and flow, and causing the body to reduce or stop sending chemical signals to the kidneys to retain excess salt and water.</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In 2010 LAT Pharma entered into a license agreement with PharmaIN covering the companies’ collaboration to develop the first-ever version of the drug terlipressin for subcutaneous outpatient injection based on PharmaIN’s proprietary drug delivery technologies. These compounds have recently demonstrated promise in pre-clinical laboratory models.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LAT Pharma and PharmaIN have exchanged small (low single-digit) ownership rights to each of the company’s program, and plan to work together to advance both of them towards eventual product commercialization.</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 will initially spend most of its efforts and resources on its “CIP Terlipressin Technology”. This compound is furthest along in development.  We anticipate using our expertise to manage and perform what we believe at this time are the most critical aspects of our product development process which includes completion of pre-clinical studies and planning for the filing of an IND with FDA for advancing to clinical studies.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We are now engaged in organizational activities and sourcing compounds and materials. We have not obtained any funding for our drug development business plan nor do we expect to generate revenues in the near future. We may not be successful in developing our drugs, start selling our products when planned, generate revenues, or become profitable in the future. We have incurred net losses in each fiscal period since inception of our operations.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We have incurred $162,254 of operating expenses for the nine months ended March 31, 2016.   We anticipate incurring other costs associated with equipment purchases and general and administrative expenses, including employee salaries and benefits, legal expenses, and other costs associated with an early stage, publicly-traded company.</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Requirement for Additional Capital</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$2,000,000 in expenses over the next 12 months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 had approximately $233,200 of cash on hand at March 31, 2016 and will be unable to proceed with its planned drug development, meet its administrative expense requirements, capital costs, or staffing costs without obtaining additional net financing of approximately $2,500,000 to meet its budget.</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The Company has limited experience with pharmaceutical drug development. As such these budget estimates may not be accurate. In addition, the actual work to be performed is not known at this time, other than a broad outline, as is normal with any scientific work. As further work is performed, additional work may become necessary or change in </w:t>
      </w:r>
      <w:r w:rsidRPr="005A2AA2">
        <w:rPr>
          <w:rFonts w:ascii="Times New Roman" w:eastAsia="Times New Roman" w:hAnsi="Times New Roman" w:cs="Times New Roman"/>
          <w:sz w:val="20"/>
          <w:szCs w:val="20"/>
        </w:rPr>
        <w:lastRenderedPageBreak/>
        <w:t>plans or workload may occur. Such changes may have an adverse impact on our estimated budget. Such changes may also have an adverse impact on our projected timeline of drug development.</w:t>
      </w:r>
    </w:p>
    <w:p w:rsidR="005A2AA2" w:rsidRPr="005A2AA2" w:rsidRDefault="005A2AA2" w:rsidP="005A2AA2">
      <w:pPr>
        <w:spacing w:after="0" w:line="240" w:lineRule="auto"/>
        <w:ind w:firstLine="720"/>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Capital Resources and Liquidity</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As of March 31, 2016, we had approximately $233,200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2015, contains an explanatory paragraph regarding a substantial doubt about our ability to continue as a going concern.</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and implement our business plan. In that event, investors should anticipate that their entire investment may be lost and there may be no ability to profit from this investment.</w:t>
      </w:r>
    </w:p>
    <w:p w:rsidR="005A2AA2" w:rsidRPr="005A2AA2" w:rsidRDefault="005A2AA2" w:rsidP="005A2AA2">
      <w:pPr>
        <w:spacing w:after="0" w:line="240" w:lineRule="auto"/>
        <w:ind w:firstLine="720"/>
        <w:jc w:val="righ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We cannot assure you that our compounds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If we are unable to raise additional funds, we will need to do one or more of the following:</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If we are unable to raise additional funds, we will need to do one or more of the following:</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A2AA2" w:rsidRPr="005A2AA2" w:rsidTr="005A2AA2">
        <w:tc>
          <w:tcPr>
            <w:tcW w:w="100" w:type="pct"/>
            <w:hideMark/>
          </w:tcPr>
          <w:p w:rsidR="005A2AA2" w:rsidRPr="005A2AA2" w:rsidRDefault="005A2AA2" w:rsidP="005A2AA2">
            <w:pPr>
              <w:spacing w:after="0" w:line="27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490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delay, scale-back or eliminate some or all of our research and product development programs;</w:t>
            </w:r>
          </w:p>
        </w:tc>
      </w:tr>
    </w:tbl>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A2AA2" w:rsidRPr="005A2AA2" w:rsidTr="005A2AA2">
        <w:tc>
          <w:tcPr>
            <w:tcW w:w="100" w:type="pct"/>
            <w:hideMark/>
          </w:tcPr>
          <w:p w:rsidR="005A2AA2" w:rsidRPr="005A2AA2" w:rsidRDefault="005A2AA2" w:rsidP="005A2AA2">
            <w:pPr>
              <w:spacing w:after="0" w:line="27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4900" w:type="pct"/>
            <w:hideMark/>
          </w:tcPr>
          <w:p w:rsidR="005A2AA2" w:rsidRPr="005A2AA2" w:rsidRDefault="005A2AA2" w:rsidP="005A2AA2">
            <w:pPr>
              <w:spacing w:after="0" w:line="214" w:lineRule="atLeas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provide licenses to third parties to develop and commercialize products or technologies that we would</w:t>
            </w:r>
          </w:p>
          <w:p w:rsidR="005A2AA2" w:rsidRPr="005A2AA2" w:rsidRDefault="005A2AA2" w:rsidP="005A2AA2">
            <w:pPr>
              <w:spacing w:after="0" w:line="214" w:lineRule="atLeast"/>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otherwise seek to develop and commercialize ourselves;</w:t>
            </w:r>
          </w:p>
        </w:tc>
      </w:tr>
    </w:tbl>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A2AA2" w:rsidRPr="005A2AA2" w:rsidTr="005A2AA2">
        <w:tc>
          <w:tcPr>
            <w:tcW w:w="100" w:type="pct"/>
            <w:hideMark/>
          </w:tcPr>
          <w:p w:rsidR="005A2AA2" w:rsidRPr="005A2AA2" w:rsidRDefault="005A2AA2" w:rsidP="005A2AA2">
            <w:pPr>
              <w:spacing w:after="0" w:line="27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490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seek strategic alliances or business combinations;</w:t>
            </w:r>
          </w:p>
        </w:tc>
      </w:tr>
    </w:tbl>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A2AA2" w:rsidRPr="005A2AA2" w:rsidTr="005A2AA2">
        <w:tc>
          <w:tcPr>
            <w:tcW w:w="100" w:type="pct"/>
            <w:hideMark/>
          </w:tcPr>
          <w:p w:rsidR="005A2AA2" w:rsidRPr="005A2AA2" w:rsidRDefault="005A2AA2" w:rsidP="005A2AA2">
            <w:pPr>
              <w:spacing w:after="0" w:line="27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490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attempt to sell our company;</w:t>
            </w:r>
          </w:p>
        </w:tc>
      </w:tr>
    </w:tbl>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A2AA2" w:rsidRPr="005A2AA2" w:rsidTr="005A2AA2">
        <w:tc>
          <w:tcPr>
            <w:tcW w:w="100" w:type="pct"/>
            <w:hideMark/>
          </w:tcPr>
          <w:p w:rsidR="005A2AA2" w:rsidRPr="005A2AA2" w:rsidRDefault="005A2AA2" w:rsidP="005A2AA2">
            <w:pPr>
              <w:spacing w:after="0" w:line="27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490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cease operations; or</w:t>
            </w:r>
          </w:p>
        </w:tc>
      </w:tr>
    </w:tbl>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A2AA2" w:rsidRPr="005A2AA2" w:rsidTr="005A2AA2">
        <w:tc>
          <w:tcPr>
            <w:tcW w:w="100" w:type="pct"/>
            <w:hideMark/>
          </w:tcPr>
          <w:p w:rsidR="005A2AA2" w:rsidRPr="005A2AA2" w:rsidRDefault="005A2AA2" w:rsidP="005A2AA2">
            <w:pPr>
              <w:spacing w:after="0" w:line="276"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t>
            </w:r>
          </w:p>
        </w:tc>
        <w:tc>
          <w:tcPr>
            <w:tcW w:w="4900" w:type="pct"/>
            <w:hideMark/>
          </w:tcPr>
          <w:p w:rsidR="005A2AA2" w:rsidRPr="005A2AA2" w:rsidRDefault="005A2AA2" w:rsidP="005A2AA2">
            <w:pPr>
              <w:spacing w:after="0" w:line="27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declare bankruptcy.</w:t>
            </w:r>
          </w:p>
        </w:tc>
      </w:tr>
    </w:tbl>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We believe that our existing cash, cash equivalents will not be sufficient to meet our operating and capital requirements until June 30, 2016.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xml:space="preserve">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w:t>
      </w:r>
      <w:r w:rsidRPr="005A2AA2">
        <w:rPr>
          <w:rFonts w:ascii="Times New Roman" w:eastAsia="Times New Roman" w:hAnsi="Times New Roman" w:cs="Times New Roman"/>
          <w:sz w:val="20"/>
          <w:szCs w:val="20"/>
        </w:rPr>
        <w:lastRenderedPageBreak/>
        <w:t>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Emerging Growth Company</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Off-Balance Sheet Arrangements</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8" w:name="a_004"/>
      <w:bookmarkEnd w:id="8"/>
      <w:r w:rsidRPr="005A2AA2">
        <w:rPr>
          <w:rFonts w:ascii="Times New Roman" w:eastAsia="Times New Roman" w:hAnsi="Times New Roman" w:cs="Times New Roman"/>
          <w:b/>
          <w:bCs/>
          <w:sz w:val="20"/>
          <w:szCs w:val="20"/>
        </w:rPr>
        <w:t>Item 3.  Quantitative and Qualitative Disclosures About Market Risk</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Not applicable</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9" w:name="a_005"/>
      <w:bookmarkEnd w:id="9"/>
      <w:r w:rsidRPr="005A2AA2">
        <w:rPr>
          <w:rFonts w:ascii="Times New Roman" w:eastAsia="Times New Roman" w:hAnsi="Times New Roman" w:cs="Times New Roman"/>
          <w:b/>
          <w:bCs/>
          <w:sz w:val="20"/>
          <w:szCs w:val="20"/>
        </w:rPr>
        <w:t>Item 4.  Controls and Procedures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March 31, 2016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March 31, 2016.</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Changes in Internal Control over Financial Reporting</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No change in the Company’s internal control over financial reporting occurred during the quarter ended March 31, 2016, that materially affected, or is reasonably likely to materially affect, the Company’s internal control over financial reporting.</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PART II. OTHER INFORMATION</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10" w:name="a_006"/>
      <w:bookmarkEnd w:id="10"/>
      <w:r w:rsidRPr="005A2AA2">
        <w:rPr>
          <w:rFonts w:ascii="Times New Roman" w:eastAsia="Times New Roman" w:hAnsi="Times New Roman" w:cs="Times New Roman"/>
          <w:b/>
          <w:bCs/>
          <w:sz w:val="20"/>
          <w:szCs w:val="20"/>
        </w:rPr>
        <w:lastRenderedPageBreak/>
        <w:t>Item 1. Legal Proceedings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both"/>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11" w:name="a_007"/>
      <w:bookmarkEnd w:id="11"/>
      <w:r w:rsidRPr="005A2AA2">
        <w:rPr>
          <w:rFonts w:ascii="Times New Roman" w:eastAsia="Times New Roman" w:hAnsi="Times New Roman" w:cs="Times New Roman"/>
          <w:b/>
          <w:bCs/>
          <w:sz w:val="20"/>
          <w:szCs w:val="20"/>
        </w:rPr>
        <w:t>Item 2. Unregistered sales of equity securities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None</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12" w:name="a_008"/>
      <w:bookmarkEnd w:id="12"/>
      <w:r w:rsidRPr="005A2AA2">
        <w:rPr>
          <w:rFonts w:ascii="Times New Roman" w:eastAsia="Times New Roman" w:hAnsi="Times New Roman" w:cs="Times New Roman"/>
          <w:b/>
          <w:bCs/>
          <w:sz w:val="20"/>
          <w:szCs w:val="20"/>
        </w:rPr>
        <w:t>Item 3. Defaults Upon Senior Securities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None</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13" w:name="a_009"/>
      <w:bookmarkEnd w:id="13"/>
      <w:r w:rsidRPr="005A2AA2">
        <w:rPr>
          <w:rFonts w:ascii="Times New Roman" w:eastAsia="Times New Roman" w:hAnsi="Times New Roman" w:cs="Times New Roman"/>
          <w:b/>
          <w:bCs/>
          <w:sz w:val="20"/>
          <w:szCs w:val="20"/>
        </w:rPr>
        <w:t>Item 4.  Mine Safety Disclosures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None</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14" w:name="a_010"/>
      <w:bookmarkEnd w:id="14"/>
      <w:r w:rsidRPr="005A2AA2">
        <w:rPr>
          <w:rFonts w:ascii="Times New Roman" w:eastAsia="Times New Roman" w:hAnsi="Times New Roman" w:cs="Times New Roman"/>
          <w:b/>
          <w:bCs/>
          <w:sz w:val="20"/>
          <w:szCs w:val="20"/>
        </w:rPr>
        <w:t>Item 5.  Other Information</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None</w:t>
      </w:r>
    </w:p>
    <w:p w:rsidR="005A2AA2" w:rsidRPr="005A2AA2" w:rsidRDefault="005A2AA2" w:rsidP="005A2AA2">
      <w:pPr>
        <w:spacing w:after="0" w:line="240" w:lineRule="auto"/>
        <w:ind w:firstLine="560"/>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bookmarkStart w:id="15" w:name="a_011"/>
      <w:bookmarkEnd w:id="15"/>
      <w:r w:rsidRPr="005A2AA2">
        <w:rPr>
          <w:rFonts w:ascii="Times New Roman" w:eastAsia="Times New Roman" w:hAnsi="Times New Roman" w:cs="Times New Roman"/>
          <w:b/>
          <w:bCs/>
          <w:sz w:val="20"/>
          <w:szCs w:val="20"/>
        </w:rPr>
        <w:t>Item 6. Exhibits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(a)</w:t>
      </w:r>
      <w:r w:rsidRPr="005A2AA2">
        <w:rPr>
          <w:rFonts w:ascii="Times New Roman" w:eastAsia="Times New Roman" w:hAnsi="Times New Roman" w:cs="Times New Roman"/>
          <w:b/>
          <w:bCs/>
          <w:sz w:val="20"/>
          <w:szCs w:val="20"/>
        </w:rPr>
        <w:t> </w:t>
      </w:r>
      <w:r w:rsidRPr="005A2AA2">
        <w:rPr>
          <w:rFonts w:ascii="Times New Roman" w:eastAsia="Times New Roman" w:hAnsi="Times New Roman" w:cs="Times New Roman"/>
          <w:sz w:val="20"/>
          <w:szCs w:val="20"/>
        </w:rPr>
        <w:t>Exhibit index</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40"/>
        <w:gridCol w:w="55"/>
        <w:gridCol w:w="8365"/>
      </w:tblGrid>
      <w:tr w:rsidR="005A2AA2" w:rsidRPr="005A2AA2" w:rsidTr="005A2AA2">
        <w:tc>
          <w:tcPr>
            <w:tcW w:w="0" w:type="auto"/>
            <w:gridSpan w:val="3"/>
            <w:vAlign w:val="bottom"/>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Exhibit </w:t>
            </w:r>
          </w:p>
        </w:tc>
      </w:tr>
      <w:tr w:rsidR="005A2AA2" w:rsidRPr="005A2AA2" w:rsidTr="005A2AA2">
        <w:tc>
          <w:tcPr>
            <w:tcW w:w="0" w:type="auto"/>
            <w:gridSpan w:val="3"/>
            <w:vAlign w:val="center"/>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color w:val="000000"/>
                <w:sz w:val="20"/>
                <w:szCs w:val="20"/>
              </w:rPr>
              <w:t>31.1</w:t>
            </w:r>
          </w:p>
        </w:tc>
        <w:tc>
          <w:tcPr>
            <w:tcW w:w="0" w:type="auto"/>
            <w:vAlign w:val="bottom"/>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color w:val="000000"/>
                <w:sz w:val="20"/>
                <w:szCs w:val="20"/>
              </w:rPr>
              <w:t> </w:t>
            </w:r>
          </w:p>
        </w:tc>
        <w:tc>
          <w:tcPr>
            <w:tcW w:w="0" w:type="auto"/>
            <w:vAlign w:val="bottom"/>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r:id="rId4" w:history="1">
              <w:r w:rsidRPr="005A2AA2">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r w:rsidR="005A2AA2" w:rsidRPr="005A2AA2" w:rsidTr="005A2AA2">
        <w:tc>
          <w:tcPr>
            <w:tcW w:w="0" w:type="auto"/>
            <w:vAlign w:val="center"/>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color w:val="000000"/>
                <w:sz w:val="20"/>
                <w:szCs w:val="20"/>
              </w:rPr>
              <w:t> </w:t>
            </w:r>
          </w:p>
        </w:tc>
        <w:tc>
          <w:tcPr>
            <w:tcW w:w="0" w:type="auto"/>
            <w:gridSpan w:val="2"/>
            <w:vAlign w:val="center"/>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color w:val="000000"/>
                <w:sz w:val="20"/>
                <w:szCs w:val="20"/>
              </w:rPr>
              <w:t> </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color w:val="000000"/>
                <w:sz w:val="20"/>
                <w:szCs w:val="20"/>
              </w:rPr>
              <w:t>32.1</w:t>
            </w:r>
          </w:p>
        </w:tc>
        <w:tc>
          <w:tcPr>
            <w:tcW w:w="0" w:type="auto"/>
            <w:vAlign w:val="bottom"/>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color w:val="000000"/>
                <w:sz w:val="20"/>
                <w:szCs w:val="20"/>
              </w:rPr>
              <w:t> </w:t>
            </w:r>
          </w:p>
        </w:tc>
        <w:tc>
          <w:tcPr>
            <w:tcW w:w="0" w:type="auto"/>
            <w:vAlign w:val="bottom"/>
            <w:hideMark/>
          </w:tcPr>
          <w:p w:rsidR="005A2AA2" w:rsidRPr="005A2AA2" w:rsidRDefault="005A2AA2" w:rsidP="005A2AA2">
            <w:pPr>
              <w:spacing w:after="0" w:line="256" w:lineRule="auto"/>
              <w:rPr>
                <w:rFonts w:ascii="Times New Roman" w:eastAsia="Times New Roman" w:hAnsi="Times New Roman" w:cs="Times New Roman"/>
                <w:sz w:val="20"/>
                <w:szCs w:val="20"/>
              </w:rPr>
            </w:pPr>
            <w:hyperlink r:id="rId5" w:history="1">
              <w:r w:rsidRPr="005A2AA2">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vAlign w:val="bottom"/>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101.SCH**</w:t>
            </w:r>
          </w:p>
        </w:tc>
        <w:tc>
          <w:tcPr>
            <w:tcW w:w="0" w:type="auto"/>
            <w:vAlign w:val="bottom"/>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XBRL Taxonomy Extension Schema Document</w:t>
            </w:r>
          </w:p>
        </w:tc>
      </w:tr>
      <w:tr w:rsidR="005A2AA2" w:rsidRPr="005A2AA2" w:rsidTr="005A2AA2">
        <w:tc>
          <w:tcPr>
            <w:tcW w:w="0" w:type="auto"/>
            <w:vAlign w:val="center"/>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gridSpan w:val="2"/>
            <w:vAlign w:val="center"/>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r>
      <w:tr w:rsidR="005A2AA2" w:rsidRPr="005A2AA2" w:rsidTr="005A2AA2">
        <w:tc>
          <w:tcPr>
            <w:tcW w:w="0" w:type="auto"/>
            <w:gridSpan w:val="2"/>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101.CAL**</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XBRL Taxonomy Extension Calculation Linkbase Document</w:t>
            </w:r>
          </w:p>
        </w:tc>
      </w:tr>
      <w:tr w:rsidR="005A2AA2" w:rsidRPr="005A2AA2" w:rsidTr="005A2AA2">
        <w:tc>
          <w:tcPr>
            <w:tcW w:w="0" w:type="auto"/>
            <w:vAlign w:val="center"/>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gridSpan w:val="2"/>
            <w:vAlign w:val="center"/>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101.DEF**</w:t>
            </w:r>
          </w:p>
        </w:tc>
        <w:tc>
          <w:tcPr>
            <w:tcW w:w="0" w:type="auto"/>
            <w:vAlign w:val="bottom"/>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XBRL Taxonomy Extension Definition Linkbase Document</w:t>
            </w:r>
          </w:p>
        </w:tc>
      </w:tr>
      <w:tr w:rsidR="005A2AA2" w:rsidRPr="005A2AA2" w:rsidTr="005A2AA2">
        <w:tc>
          <w:tcPr>
            <w:tcW w:w="0" w:type="auto"/>
            <w:vAlign w:val="center"/>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gridSpan w:val="2"/>
            <w:vAlign w:val="center"/>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r>
      <w:tr w:rsidR="005A2AA2" w:rsidRPr="005A2AA2" w:rsidTr="005A2AA2">
        <w:tc>
          <w:tcPr>
            <w:tcW w:w="0" w:type="auto"/>
            <w:gridSpan w:val="2"/>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101.LAB**</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XBRL Taxonomy Extension Label Linkbase Document</w:t>
            </w:r>
          </w:p>
        </w:tc>
      </w:tr>
      <w:tr w:rsidR="005A2AA2" w:rsidRPr="005A2AA2" w:rsidTr="005A2AA2">
        <w:tc>
          <w:tcPr>
            <w:tcW w:w="0" w:type="auto"/>
            <w:vAlign w:val="center"/>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gridSpan w:val="2"/>
            <w:vAlign w:val="center"/>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r>
      <w:tr w:rsidR="005A2AA2" w:rsidRPr="005A2AA2" w:rsidTr="005A2AA2">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101.PRE**</w:t>
            </w:r>
          </w:p>
        </w:tc>
        <w:tc>
          <w:tcPr>
            <w:tcW w:w="0" w:type="auto"/>
            <w:vAlign w:val="bottom"/>
            <w:hideMark/>
          </w:tcPr>
          <w:p w:rsidR="005A2AA2" w:rsidRPr="005A2AA2" w:rsidRDefault="005A2AA2" w:rsidP="005A2AA2">
            <w:pPr>
              <w:spacing w:after="0" w:line="256" w:lineRule="auto"/>
              <w:rPr>
                <w:rFonts w:ascii="Times New Roman" w:eastAsia="Times New Roman" w:hAnsi="Times New Roman" w:cs="Times New Roman"/>
              </w:rPr>
            </w:pPr>
            <w:r w:rsidRPr="005A2AA2">
              <w:rPr>
                <w:rFonts w:ascii="Times New Roman" w:eastAsia="Times New Roman" w:hAnsi="Times New Roman" w:cs="Times New Roman"/>
              </w:rPr>
              <w:t> </w:t>
            </w:r>
          </w:p>
        </w:tc>
        <w:tc>
          <w:tcPr>
            <w:tcW w:w="0" w:type="auto"/>
            <w:hideMark/>
          </w:tcPr>
          <w:p w:rsidR="005A2AA2" w:rsidRPr="005A2AA2" w:rsidRDefault="005A2AA2" w:rsidP="005A2AA2">
            <w:pPr>
              <w:spacing w:after="0" w:line="256"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XBRL Taxonomy Extension Presentation Linkbase Document</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before="100" w:beforeAutospacing="1" w:after="100" w:afterAutospacing="1"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(b)  Reports on Form 8-K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None.</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jc w:val="center"/>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SIGNATURES</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lastRenderedPageBreak/>
        <w:t>Pursuant to the requirements of Section 13 or 15(d) of the Securities Exchange Act of 1934, the Registrant has duly caused this report to be signed on its behalf by the undersigned, thereunto duly authorized.</w:t>
      </w:r>
    </w:p>
    <w:p w:rsidR="005A2AA2" w:rsidRPr="005A2AA2" w:rsidRDefault="005A2AA2" w:rsidP="005A2AA2">
      <w:pPr>
        <w:spacing w:after="0" w:line="240" w:lineRule="auto"/>
        <w:ind w:firstLine="720"/>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b/>
          <w:bCs/>
          <w:sz w:val="20"/>
          <w:szCs w:val="20"/>
        </w:rPr>
        <w:t>NANOANTIBIOTICS INC</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bl>
      <w:tblPr>
        <w:tblW w:w="5760" w:type="dxa"/>
        <w:tblCellMar>
          <w:left w:w="0" w:type="dxa"/>
          <w:right w:w="0" w:type="dxa"/>
        </w:tblCellMar>
        <w:tblLook w:val="04A0" w:firstRow="1" w:lastRow="0" w:firstColumn="1" w:lastColumn="0" w:noHBand="0" w:noVBand="1"/>
      </w:tblPr>
      <w:tblGrid>
        <w:gridCol w:w="416"/>
        <w:gridCol w:w="5344"/>
      </w:tblGrid>
      <w:tr w:rsidR="005A2AA2" w:rsidRPr="005A2AA2" w:rsidTr="005A2AA2">
        <w:tc>
          <w:tcPr>
            <w:tcW w:w="0" w:type="auto"/>
            <w:tcMar>
              <w:top w:w="0" w:type="dxa"/>
              <w:left w:w="0" w:type="dxa"/>
              <w:bottom w:w="0" w:type="dxa"/>
              <w:right w:w="16" w:type="dxa"/>
            </w:tcMar>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By:</w:t>
            </w:r>
          </w:p>
        </w:tc>
        <w:tc>
          <w:tcPr>
            <w:tcW w:w="0" w:type="auto"/>
            <w:tcBorders>
              <w:bottom w:val="single" w:sz="8" w:space="0" w:color="000000"/>
            </w:tcBorders>
            <w:tcMar>
              <w:top w:w="0" w:type="dxa"/>
              <w:left w:w="0" w:type="dxa"/>
              <w:bottom w:w="0" w:type="dxa"/>
              <w:right w:w="16" w:type="dxa"/>
            </w:tcMar>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/s/  </w:t>
            </w:r>
            <w:r w:rsidRPr="005A2AA2">
              <w:rPr>
                <w:rFonts w:ascii="Times New Roman" w:eastAsia="Times New Roman" w:hAnsi="Times New Roman" w:cs="Times New Roman"/>
                <w:i/>
                <w:iCs/>
                <w:sz w:val="20"/>
                <w:szCs w:val="20"/>
              </w:rPr>
              <w:t>Jonathan Adams</w:t>
            </w:r>
          </w:p>
        </w:tc>
      </w:tr>
      <w:tr w:rsidR="005A2AA2" w:rsidRPr="005A2AA2" w:rsidTr="005A2AA2">
        <w:tc>
          <w:tcPr>
            <w:tcW w:w="435" w:type="dxa"/>
            <w:tcMar>
              <w:top w:w="0" w:type="dxa"/>
              <w:left w:w="0" w:type="dxa"/>
              <w:bottom w:w="0" w:type="dxa"/>
              <w:right w:w="16" w:type="dxa"/>
            </w:tcMar>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6075" w:type="dxa"/>
            <w:tcMar>
              <w:top w:w="0" w:type="dxa"/>
              <w:left w:w="0" w:type="dxa"/>
              <w:bottom w:w="0" w:type="dxa"/>
              <w:right w:w="16" w:type="dxa"/>
            </w:tcMar>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Name: Jonathan Adams</w:t>
            </w:r>
          </w:p>
        </w:tc>
      </w:tr>
      <w:tr w:rsidR="005A2AA2" w:rsidRPr="005A2AA2" w:rsidTr="005A2AA2">
        <w:tc>
          <w:tcPr>
            <w:tcW w:w="0" w:type="auto"/>
            <w:tcMar>
              <w:top w:w="0" w:type="dxa"/>
              <w:left w:w="0" w:type="dxa"/>
              <w:bottom w:w="0" w:type="dxa"/>
              <w:right w:w="16" w:type="dxa"/>
            </w:tcMar>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tc>
        <w:tc>
          <w:tcPr>
            <w:tcW w:w="0" w:type="auto"/>
            <w:tcMar>
              <w:top w:w="0" w:type="dxa"/>
              <w:left w:w="0" w:type="dxa"/>
              <w:bottom w:w="0" w:type="dxa"/>
              <w:right w:w="16" w:type="dxa"/>
            </w:tcMar>
            <w:hideMark/>
          </w:tcPr>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Title:   Chief Executive Officer</w:t>
            </w:r>
          </w:p>
        </w:tc>
      </w:tr>
    </w:tbl>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2AA2" w:rsidRPr="005A2AA2" w:rsidRDefault="005A2AA2" w:rsidP="005A2AA2">
      <w:pPr>
        <w:spacing w:after="0" w:line="240" w:lineRule="auto"/>
        <w:rPr>
          <w:rFonts w:ascii="Times New Roman" w:eastAsia="Times New Roman" w:hAnsi="Times New Roman" w:cs="Times New Roman"/>
          <w:sz w:val="20"/>
          <w:szCs w:val="20"/>
        </w:rPr>
      </w:pPr>
      <w:r w:rsidRPr="005A2AA2">
        <w:rPr>
          <w:rFonts w:ascii="Times New Roman" w:eastAsia="Times New Roman" w:hAnsi="Times New Roman" w:cs="Times New Roman"/>
          <w:sz w:val="20"/>
          <w:szCs w:val="20"/>
        </w:rPr>
        <w:t> </w:t>
      </w:r>
    </w:p>
    <w:p w:rsidR="005A06CA" w:rsidRDefault="005A06CA">
      <w:bookmarkStart w:id="16" w:name="_GoBack"/>
      <w:bookmarkEnd w:id="16"/>
    </w:p>
    <w:sectPr w:rsidR="005A0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A2"/>
    <w:rsid w:val="00090A42"/>
    <w:rsid w:val="00116C34"/>
    <w:rsid w:val="003017BB"/>
    <w:rsid w:val="0041437F"/>
    <w:rsid w:val="004348F8"/>
    <w:rsid w:val="005A06CA"/>
    <w:rsid w:val="005A2AA2"/>
    <w:rsid w:val="005C0F83"/>
    <w:rsid w:val="00643E55"/>
    <w:rsid w:val="006F2D75"/>
    <w:rsid w:val="007540A2"/>
    <w:rsid w:val="007D7F9E"/>
    <w:rsid w:val="007E330D"/>
    <w:rsid w:val="00825063"/>
    <w:rsid w:val="00856B06"/>
    <w:rsid w:val="008F6786"/>
    <w:rsid w:val="00A8565A"/>
    <w:rsid w:val="00AD765B"/>
    <w:rsid w:val="00B6384D"/>
    <w:rsid w:val="00D039D2"/>
    <w:rsid w:val="00E24CF4"/>
    <w:rsid w:val="00E66835"/>
    <w:rsid w:val="00E97CFA"/>
    <w:rsid w:val="00EE4BEC"/>
    <w:rsid w:val="00F36A09"/>
    <w:rsid w:val="00F93E9B"/>
    <w:rsid w:val="00FE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6C742-B7DC-4C0A-9283-8B944F0B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A2A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2A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2AA2"/>
    <w:rPr>
      <w:color w:val="0000FF"/>
      <w:u w:val="single"/>
    </w:rPr>
  </w:style>
  <w:style w:type="character" w:styleId="FollowedHyperlink">
    <w:name w:val="FollowedHyperlink"/>
    <w:basedOn w:val="DefaultParagraphFont"/>
    <w:uiPriority w:val="99"/>
    <w:semiHidden/>
    <w:unhideWhenUsed/>
    <w:rsid w:val="005A2A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0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nab-20160331_10qex32z1.htm" TargetMode="External"/><Relationship Id="rId4" Type="http://schemas.openxmlformats.org/officeDocument/2006/relationships/hyperlink" Target="nnab-20160331_10qex31z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7590</Words>
  <Characters>43264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Brickell</dc:creator>
  <cp:keywords/>
  <dc:description/>
  <cp:lastModifiedBy>Frank Brickell</cp:lastModifiedBy>
  <cp:revision>1</cp:revision>
  <dcterms:created xsi:type="dcterms:W3CDTF">2016-10-31T21:46:00Z</dcterms:created>
  <dcterms:modified xsi:type="dcterms:W3CDTF">2016-10-31T21:46:00Z</dcterms:modified>
</cp:coreProperties>
</file>